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8C6520" w:rsidRDefault="00286906" w:rsidP="00EB088A">
      <w:pPr>
        <w:pStyle w:val="1"/>
        <w:ind w:left="5387"/>
        <w:rPr>
          <w:rFonts w:ascii="Liberation Serif" w:hAnsi="Liberation Serif"/>
          <w:b w:val="0"/>
          <w:bCs/>
          <w:iCs w:val="0"/>
          <w:lang w:val="en-US"/>
        </w:rPr>
      </w:pPr>
      <w:r w:rsidRPr="00286906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5410C" w:rsidRDefault="0055410C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C6520" w:rsidRDefault="00133698" w:rsidP="00EB088A">
      <w:pPr>
        <w:pStyle w:val="1"/>
        <w:ind w:left="5387"/>
        <w:rPr>
          <w:rFonts w:ascii="Liberation Serif" w:hAnsi="Liberation Serif"/>
          <w:bCs/>
          <w:iCs w:val="0"/>
        </w:rPr>
      </w:pPr>
    </w:p>
    <w:p w:rsidR="00133698" w:rsidRPr="008C6520" w:rsidRDefault="00133698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56960" w:rsidRPr="008C6520" w:rsidRDefault="00956960" w:rsidP="00EB088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33698" w:rsidRPr="008C6520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8C6520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ДУМА</w:t>
      </w:r>
      <w:r w:rsidR="00BF6E52" w:rsidRPr="008C6520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8C6520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87768" w:rsidRPr="008C6520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8C6520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8C6520">
        <w:rPr>
          <w:rFonts w:ascii="Liberation Serif" w:hAnsi="Liberation Serif"/>
          <w:b/>
          <w:sz w:val="28"/>
          <w:szCs w:val="28"/>
        </w:rPr>
        <w:br/>
      </w:r>
      <w:r w:rsidRPr="000511DD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0511DD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8C6520" w:rsidRDefault="0028690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44B38">
        <w:rPr>
          <w:rFonts w:ascii="Liberation Serif" w:hAnsi="Liberation Serif"/>
          <w:sz w:val="28"/>
          <w:szCs w:val="28"/>
        </w:rPr>
        <w:t xml:space="preserve">от </w:t>
      </w:r>
      <w:r w:rsidR="00524BBF">
        <w:rPr>
          <w:rFonts w:ascii="Liberation Serif" w:hAnsi="Liberation Serif"/>
          <w:sz w:val="28"/>
          <w:szCs w:val="28"/>
        </w:rPr>
        <w:t>18.02.2026</w:t>
      </w:r>
      <w:r w:rsidR="000F5DBF">
        <w:rPr>
          <w:rFonts w:ascii="Liberation Serif" w:hAnsi="Liberation Serif"/>
          <w:sz w:val="28"/>
          <w:szCs w:val="28"/>
        </w:rPr>
        <w:t xml:space="preserve"> № </w:t>
      </w:r>
      <w:r w:rsidR="00524BBF">
        <w:rPr>
          <w:rFonts w:ascii="Liberation Serif" w:hAnsi="Liberation Serif"/>
          <w:sz w:val="28"/>
          <w:szCs w:val="28"/>
        </w:rPr>
        <w:t>606</w:t>
      </w: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133698">
      <w:pPr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jc w:val="center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 xml:space="preserve">О рассмотрении отчета о деятельности Контрольно-счетного органа </w:t>
      </w:r>
      <w:r w:rsidR="003A332B" w:rsidRPr="008C6520">
        <w:rPr>
          <w:rFonts w:ascii="Liberation Serif" w:hAnsi="Liberation Serif"/>
          <w:b/>
          <w:sz w:val="28"/>
          <w:szCs w:val="28"/>
        </w:rPr>
        <w:br/>
        <w:t>Каменск-Уральского городского округа</w:t>
      </w:r>
      <w:r w:rsidR="003933D0">
        <w:rPr>
          <w:rFonts w:ascii="Liberation Serif" w:hAnsi="Liberation Serif"/>
          <w:b/>
          <w:sz w:val="28"/>
          <w:szCs w:val="28"/>
        </w:rPr>
        <w:t xml:space="preserve"> за 202</w:t>
      </w:r>
      <w:r w:rsidR="0055410C">
        <w:rPr>
          <w:rFonts w:ascii="Liberation Serif" w:hAnsi="Liberation Serif"/>
          <w:b/>
          <w:sz w:val="28"/>
          <w:szCs w:val="28"/>
        </w:rPr>
        <w:t>5</w:t>
      </w:r>
      <w:r w:rsidRPr="008C652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DE724D" w:rsidRPr="008C6520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2537FF" w:rsidRPr="008C6520" w:rsidRDefault="002537FF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C6520">
        <w:rPr>
          <w:rFonts w:ascii="Liberation Serif" w:hAnsi="Liberation Serif"/>
          <w:sz w:val="28"/>
          <w:szCs w:val="28"/>
        </w:rPr>
        <w:t xml:space="preserve">В соответствии с п. 8.2 </w:t>
      </w:r>
      <w:r w:rsidRPr="008C6520">
        <w:rPr>
          <w:rFonts w:ascii="Liberation Serif" w:hAnsi="Liberation Serif" w:cs="Liberation Serif"/>
          <w:sz w:val="28"/>
          <w:szCs w:val="28"/>
        </w:rPr>
        <w:t xml:space="preserve">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 w:rsidRPr="008C6520">
        <w:rPr>
          <w:rFonts w:ascii="Liberation Serif" w:hAnsi="Liberation Serif" w:cs="Liberation Serif"/>
          <w:sz w:val="28"/>
          <w:szCs w:val="28"/>
        </w:rPr>
        <w:br/>
        <w:t>от 27.06.2012 № 518</w:t>
      </w:r>
      <w:r w:rsidRPr="008C6520">
        <w:rPr>
          <w:rFonts w:ascii="Liberation Serif" w:hAnsi="Liberation Serif"/>
          <w:sz w:val="28"/>
          <w:szCs w:val="28"/>
        </w:rPr>
        <w:t xml:space="preserve"> (</w:t>
      </w:r>
      <w:r w:rsidRPr="008C6520">
        <w:rPr>
          <w:rFonts w:ascii="Liberation Serif" w:hAnsi="Liberation Serif" w:cs="Liberation Serif"/>
          <w:sz w:val="28"/>
          <w:szCs w:val="28"/>
        </w:rPr>
        <w:t>в редакции решения Думы Каменск-Уральского городского округа от 19.08.2020 № 708</w:t>
      </w:r>
      <w:r w:rsidR="00764EE2" w:rsidRPr="008C6520">
        <w:rPr>
          <w:rFonts w:ascii="Liberation Serif" w:hAnsi="Liberation Serif" w:cs="Liberation Serif"/>
          <w:sz w:val="28"/>
          <w:szCs w:val="28"/>
        </w:rPr>
        <w:t xml:space="preserve">, от 25.08.2021 № 890, от 22.12.2021 </w:t>
      </w:r>
      <w:r w:rsidR="00A87768" w:rsidRPr="008C6520">
        <w:rPr>
          <w:rFonts w:ascii="Liberation Serif" w:hAnsi="Liberation Serif" w:cs="Liberation Serif"/>
          <w:sz w:val="28"/>
          <w:szCs w:val="28"/>
        </w:rPr>
        <w:br/>
      </w:r>
      <w:r w:rsidR="000511DD">
        <w:rPr>
          <w:rFonts w:ascii="Liberation Serif" w:hAnsi="Liberation Serif" w:cs="Liberation Serif"/>
          <w:sz w:val="28"/>
          <w:szCs w:val="28"/>
        </w:rPr>
        <w:t>№ 53</w:t>
      </w:r>
      <w:r w:rsidR="00C76FAA">
        <w:rPr>
          <w:rFonts w:ascii="Liberation Serif" w:hAnsi="Liberation Serif" w:cs="Liberation Serif"/>
          <w:sz w:val="28"/>
          <w:szCs w:val="28"/>
        </w:rPr>
        <w:t>, от 19.04.2023 №</w:t>
      </w:r>
      <w:r w:rsidR="00EA7708">
        <w:rPr>
          <w:rFonts w:ascii="Liberation Serif" w:hAnsi="Liberation Serif" w:cs="Liberation Serif"/>
          <w:sz w:val="28"/>
          <w:szCs w:val="28"/>
        </w:rPr>
        <w:t xml:space="preserve"> 222</w:t>
      </w:r>
      <w:r w:rsidR="000511DD">
        <w:rPr>
          <w:rFonts w:ascii="Liberation Serif" w:hAnsi="Liberation Serif" w:cs="Liberation Serif"/>
          <w:sz w:val="28"/>
          <w:szCs w:val="28"/>
        </w:rPr>
        <w:t xml:space="preserve">) </w:t>
      </w:r>
      <w:r w:rsidRPr="008C6520">
        <w:rPr>
          <w:rFonts w:ascii="Liberation Serif" w:hAnsi="Liberation Serif"/>
          <w:sz w:val="28"/>
          <w:szCs w:val="28"/>
        </w:rPr>
        <w:t xml:space="preserve">рассмотрев отчет председателя Контрольно-счетного органа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2A3CB3">
        <w:rPr>
          <w:rFonts w:ascii="Liberation Serif" w:hAnsi="Liberation Serif"/>
          <w:sz w:val="28"/>
          <w:szCs w:val="28"/>
        </w:rPr>
        <w:t xml:space="preserve"> за 202</w:t>
      </w:r>
      <w:r w:rsidR="0055410C">
        <w:rPr>
          <w:rFonts w:ascii="Liberation Serif" w:hAnsi="Liberation Serif"/>
          <w:sz w:val="28"/>
          <w:szCs w:val="28"/>
        </w:rPr>
        <w:t>5</w:t>
      </w:r>
      <w:r w:rsidRPr="008C6520">
        <w:rPr>
          <w:rFonts w:ascii="Liberation Serif" w:hAnsi="Liberation Serif"/>
          <w:sz w:val="28"/>
          <w:szCs w:val="28"/>
        </w:rPr>
        <w:t xml:space="preserve"> год, Дума Каменск-Уральского</w:t>
      </w:r>
      <w:proofErr w:type="gramEnd"/>
      <w:r w:rsidRPr="008C6520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133698" w:rsidRPr="008C6520" w:rsidRDefault="00DE724D" w:rsidP="002537FF">
      <w:pPr>
        <w:jc w:val="both"/>
        <w:rPr>
          <w:rFonts w:ascii="Liberation Serif" w:hAnsi="Liberation Serif"/>
          <w:b/>
          <w:sz w:val="28"/>
          <w:szCs w:val="28"/>
        </w:rPr>
      </w:pPr>
      <w:r w:rsidRPr="008C6520">
        <w:rPr>
          <w:rFonts w:ascii="Liberation Serif" w:hAnsi="Liberation Serif"/>
          <w:b/>
          <w:sz w:val="28"/>
          <w:szCs w:val="28"/>
        </w:rPr>
        <w:t>РЕШИЛА</w:t>
      </w:r>
      <w:r w:rsidR="00133698" w:rsidRPr="008C6520">
        <w:rPr>
          <w:rFonts w:ascii="Liberation Serif" w:hAnsi="Liberation Serif"/>
          <w:b/>
          <w:sz w:val="28"/>
          <w:szCs w:val="28"/>
        </w:rPr>
        <w:t>:</w:t>
      </w:r>
    </w:p>
    <w:p w:rsidR="002537FF" w:rsidRPr="008C6520" w:rsidRDefault="002537FF" w:rsidP="00C0248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1. Принять к сведению отчет о деятельности </w:t>
      </w:r>
      <w:r w:rsidRPr="008C6520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="003933D0">
        <w:rPr>
          <w:rFonts w:ascii="Liberation Serif" w:hAnsi="Liberation Serif"/>
          <w:sz w:val="28"/>
          <w:szCs w:val="28"/>
        </w:rPr>
        <w:t xml:space="preserve"> за 202</w:t>
      </w:r>
      <w:r w:rsidR="0055410C">
        <w:rPr>
          <w:rFonts w:ascii="Liberation Serif" w:hAnsi="Liberation Serif"/>
          <w:sz w:val="28"/>
          <w:szCs w:val="28"/>
        </w:rPr>
        <w:t>5</w:t>
      </w:r>
      <w:r w:rsidRPr="008C6520">
        <w:rPr>
          <w:rFonts w:ascii="Liberation Serif" w:hAnsi="Liberation Serif"/>
          <w:sz w:val="28"/>
          <w:szCs w:val="28"/>
        </w:rPr>
        <w:t xml:space="preserve"> год (прилагается).</w:t>
      </w:r>
    </w:p>
    <w:p w:rsidR="00170B26" w:rsidRPr="008C6520" w:rsidRDefault="002537FF" w:rsidP="00170B2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 xml:space="preserve">2. </w:t>
      </w:r>
      <w:r w:rsidR="00170B26" w:rsidRPr="008C6520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</w:t>
      </w:r>
      <w:r w:rsidR="0055410C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170B26" w:rsidRPr="008C6520">
        <w:rPr>
          <w:rFonts w:ascii="Liberation Serif" w:hAnsi="Liberation Serif" w:cs="Liberation Serif"/>
          <w:sz w:val="28"/>
          <w:szCs w:val="28"/>
        </w:rPr>
        <w:t>.</w:t>
      </w:r>
    </w:p>
    <w:p w:rsidR="00133698" w:rsidRPr="008C6520" w:rsidRDefault="00133698" w:rsidP="00170B26">
      <w:pPr>
        <w:pStyle w:val="a8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33698" w:rsidRPr="008C6520" w:rsidRDefault="00133698" w:rsidP="002537F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D0FDA" w:rsidRPr="008C6520" w:rsidRDefault="00863F8C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Председатель</w:t>
      </w:r>
      <w:r w:rsidR="00133698" w:rsidRPr="008C6520">
        <w:rPr>
          <w:rFonts w:ascii="Liberation Serif" w:hAnsi="Liberation Serif"/>
          <w:sz w:val="28"/>
          <w:szCs w:val="28"/>
        </w:rPr>
        <w:t xml:space="preserve"> </w:t>
      </w:r>
      <w:r w:rsidR="001D0FDA" w:rsidRPr="008C6520">
        <w:rPr>
          <w:rFonts w:ascii="Liberation Serif" w:hAnsi="Liberation Serif"/>
          <w:sz w:val="28"/>
          <w:szCs w:val="28"/>
        </w:rPr>
        <w:t>Думы</w:t>
      </w:r>
    </w:p>
    <w:p w:rsidR="00D921D5" w:rsidRPr="008C6520" w:rsidRDefault="00720985" w:rsidP="002537FF">
      <w:pPr>
        <w:jc w:val="both"/>
        <w:rPr>
          <w:rFonts w:ascii="Liberation Serif" w:hAnsi="Liberation Serif"/>
          <w:sz w:val="28"/>
          <w:szCs w:val="28"/>
        </w:rPr>
      </w:pPr>
      <w:r w:rsidRPr="008C6520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8C6520">
        <w:rPr>
          <w:rFonts w:ascii="Liberation Serif" w:hAnsi="Liberation Serif"/>
          <w:sz w:val="28"/>
          <w:szCs w:val="28"/>
        </w:rPr>
        <w:t xml:space="preserve"> </w:t>
      </w:r>
      <w:r w:rsidRPr="008C6520">
        <w:rPr>
          <w:rFonts w:ascii="Liberation Serif" w:hAnsi="Liberation Serif"/>
          <w:sz w:val="28"/>
          <w:szCs w:val="28"/>
        </w:rPr>
        <w:t>городского округа</w:t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</w:r>
      <w:r w:rsidR="002537FF" w:rsidRPr="008C6520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8C6520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8C6520" w:rsidRDefault="00901A08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ED3D3E" w:rsidRPr="008C6520" w:rsidRDefault="00ED3D3E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2114EB" w:rsidRPr="008C6520" w:rsidRDefault="002114EB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610BCA" w:rsidRPr="008C6520" w:rsidRDefault="00610BCA" w:rsidP="002537FF">
      <w:pPr>
        <w:jc w:val="both"/>
        <w:rPr>
          <w:rFonts w:ascii="Liberation Serif" w:hAnsi="Liberation Serif"/>
          <w:sz w:val="28"/>
          <w:szCs w:val="28"/>
        </w:rPr>
      </w:pPr>
    </w:p>
    <w:p w:rsidR="007461B3" w:rsidRPr="007461B3" w:rsidRDefault="007461B3" w:rsidP="007461B3">
      <w:pPr>
        <w:ind w:right="-42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7030A0"/>
          <w:sz w:val="27"/>
          <w:szCs w:val="27"/>
        </w:rPr>
        <w:lastRenderedPageBreak/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>
        <w:rPr>
          <w:rFonts w:ascii="Liberation Serif" w:hAnsi="Liberation Serif" w:cs="Liberation Serif"/>
          <w:color w:val="7030A0"/>
          <w:sz w:val="27"/>
          <w:szCs w:val="27"/>
        </w:rPr>
        <w:tab/>
      </w:r>
      <w:r w:rsidRPr="007461B3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 xml:space="preserve">к решению Думы 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7461B3" w:rsidRPr="007461B3" w:rsidRDefault="007461B3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 w:rsidRPr="007461B3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7461B3" w:rsidRPr="007461B3" w:rsidRDefault="006104A9" w:rsidP="007461B3">
      <w:pPr>
        <w:ind w:left="5664" w:right="-427" w:firstLine="708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от </w:t>
      </w:r>
      <w:r w:rsidR="0055410C">
        <w:rPr>
          <w:rFonts w:ascii="Liberation Serif" w:hAnsi="Liberation Serif" w:cs="Liberation Serif"/>
          <w:sz w:val="28"/>
          <w:szCs w:val="28"/>
        </w:rPr>
        <w:t>18</w:t>
      </w:r>
      <w:r w:rsidR="000F5DBF">
        <w:rPr>
          <w:rFonts w:ascii="Liberation Serif" w:hAnsi="Liberation Serif" w:cs="Liberation Serif"/>
          <w:sz w:val="28"/>
          <w:szCs w:val="28"/>
        </w:rPr>
        <w:t>.02.202</w:t>
      </w:r>
      <w:r w:rsidR="0055410C">
        <w:rPr>
          <w:rFonts w:ascii="Liberation Serif" w:hAnsi="Liberation Serif" w:cs="Liberation Serif"/>
          <w:sz w:val="28"/>
          <w:szCs w:val="28"/>
        </w:rPr>
        <w:t xml:space="preserve">6 </w:t>
      </w:r>
      <w:r w:rsidR="000F5DBF">
        <w:rPr>
          <w:rFonts w:ascii="Liberation Serif" w:hAnsi="Liberation Serif" w:cs="Liberation Serif"/>
          <w:sz w:val="28"/>
          <w:szCs w:val="28"/>
        </w:rPr>
        <w:t xml:space="preserve">№ </w:t>
      </w:r>
      <w:r w:rsidR="00524BBF">
        <w:rPr>
          <w:rFonts w:ascii="Liberation Serif" w:hAnsi="Liberation Serif" w:cs="Liberation Serif"/>
          <w:sz w:val="28"/>
          <w:szCs w:val="28"/>
        </w:rPr>
        <w:t>606</w:t>
      </w:r>
    </w:p>
    <w:p w:rsidR="00950B93" w:rsidRDefault="00950B93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</w:p>
    <w:p w:rsidR="00950B93" w:rsidRDefault="00286906" w:rsidP="00950B93">
      <w:pPr>
        <w:ind w:left="709" w:firstLine="1276"/>
        <w:jc w:val="both"/>
        <w:rPr>
          <w:rFonts w:ascii="Liberation Serif" w:hAnsi="Liberation Serif" w:cs="Liberation Serif"/>
          <w:sz w:val="32"/>
          <w:szCs w:val="32"/>
        </w:rPr>
      </w:pPr>
      <w:r w:rsidRPr="00286906">
        <w:rPr>
          <w:rFonts w:ascii="Liberation Serif" w:hAnsi="Liberation Serif" w:cs="Liberation Serif"/>
          <w:noProof/>
          <w:color w:val="7030A0"/>
          <w:sz w:val="27"/>
          <w:szCs w:val="27"/>
        </w:rPr>
        <w:pict>
          <v:shape id="Поле 4" o:spid="_x0000_s1029" type="#_x0000_t202" style="position:absolute;left:0;text-align:left;margin-left:219pt;margin-top:4.3pt;width:51.95pt;height:73.25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" filled="f" stroked="f">
            <v:textbox>
              <w:txbxContent>
                <w:p w:rsidR="0055410C" w:rsidRDefault="0055410C" w:rsidP="00950B93">
                  <w:r w:rsidRPr="00EA7708"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50B93" w:rsidRPr="00B44B38" w:rsidRDefault="00950B93" w:rsidP="00950B93">
      <w:pPr>
        <w:ind w:left="-284" w:right="-427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950B93" w:rsidRPr="002D10BF" w:rsidRDefault="00950B93" w:rsidP="00950B93">
      <w:pPr>
        <w:jc w:val="center"/>
        <w:rPr>
          <w:rFonts w:ascii="Liberation Serif" w:hAnsi="Liberation Serif" w:cs="Liberation Serif"/>
          <w:color w:val="7030A0"/>
          <w:sz w:val="27"/>
          <w:szCs w:val="27"/>
        </w:rPr>
      </w:pP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 xml:space="preserve">Орган местного самоуправления </w:t>
      </w:r>
    </w:p>
    <w:p w:rsidR="00EA7708" w:rsidRPr="00E00FBF" w:rsidRDefault="00EA7708" w:rsidP="00EA770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0FBF">
        <w:rPr>
          <w:rFonts w:ascii="Liberation Serif" w:hAnsi="Liberation Serif" w:cs="Liberation Serif"/>
          <w:b/>
          <w:sz w:val="28"/>
          <w:szCs w:val="28"/>
        </w:rPr>
        <w:t>«КОНТРОЛЬНО-СЧЕТНЫЙ ОРГАН КАМЕНСК-УРАЛЬСКОГО ГОРОДСКОГО ОКРУГА»</w:t>
      </w:r>
    </w:p>
    <w:p w:rsidR="0055410C" w:rsidRDefault="00286906" w:rsidP="00EA7708">
      <w:pPr>
        <w:spacing w:before="40" w:line="233" w:lineRule="auto"/>
        <w:ind w:left="-426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286906">
        <w:rPr>
          <w:rFonts w:ascii="Liberation Serif" w:hAnsi="Liberation Serif" w:cs="Liberation Serif"/>
          <w:noProof/>
          <w:sz w:val="28"/>
          <w:szCs w:val="28"/>
        </w:rPr>
        <w:pict>
          <v:line id="Прямая соединительная линия 2" o:spid="_x0000_s1032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35pt,11.5pt" to="494.7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" strokeweight="4.5pt">
            <v:stroke linestyle="thinThick"/>
          </v:line>
        </w:pict>
      </w:r>
    </w:p>
    <w:p w:rsidR="0055410C" w:rsidRPr="0055410C" w:rsidRDefault="0055410C" w:rsidP="0055410C">
      <w:pPr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410C">
        <w:rPr>
          <w:rFonts w:ascii="Liberation Serif" w:hAnsi="Liberation Serif" w:cs="Liberation Serif"/>
          <w:b/>
          <w:sz w:val="28"/>
          <w:szCs w:val="28"/>
        </w:rPr>
        <w:t>Отчет</w:t>
      </w: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410C">
        <w:rPr>
          <w:rFonts w:ascii="Liberation Serif" w:hAnsi="Liberation Serif" w:cs="Liberation Serif"/>
          <w:b/>
          <w:sz w:val="28"/>
          <w:szCs w:val="28"/>
        </w:rPr>
        <w:t>о деятельности Контрольно-счетного органа Каменск-Уральского</w:t>
      </w: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5410C">
        <w:rPr>
          <w:rFonts w:ascii="Liberation Serif" w:hAnsi="Liberation Serif" w:cs="Liberation Serif"/>
          <w:b/>
          <w:sz w:val="28"/>
          <w:szCs w:val="28"/>
        </w:rPr>
        <w:t>городского округа за 2025 год</w:t>
      </w:r>
    </w:p>
    <w:p w:rsidR="0055410C" w:rsidRPr="0055410C" w:rsidRDefault="0055410C" w:rsidP="0055410C">
      <w:pPr>
        <w:ind w:right="-113" w:firstLine="1276"/>
        <w:jc w:val="both"/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1. Общие положения</w:t>
      </w:r>
    </w:p>
    <w:p w:rsidR="0055410C" w:rsidRPr="0055410C" w:rsidRDefault="0055410C" w:rsidP="0055410C">
      <w:pPr>
        <w:pStyle w:val="af9"/>
        <w:ind w:left="0"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Отчет о деятельности Контрольно-счетного органа Каменск-Уральского городского округа (далее – Контрольно-счетный орган) за 2025 год подготовлен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во исполнение требований п. 8.2 Положения об органе местного самоуправления «Контрольно-счетный орган Каменск-Уральского городского округа», утвержденного решением Городской Думы города Каменска-Уральского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от 27.06.2012 № 518 (в редакции решения Думы Каменск-Уральского городского округа от 19.04.2023 № 222), в соответствии с разделом 2.2 Регламента Контрольно-счетного органа и Стандартом организации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деятельности </w:t>
      </w:r>
      <w:r w:rsidRPr="0055410C">
        <w:rPr>
          <w:rFonts w:ascii="Liberation Serif" w:hAnsi="Liberation Serif" w:cs="Liberation Serif"/>
          <w:w w:val="105"/>
          <w:sz w:val="28"/>
          <w:szCs w:val="28"/>
        </w:rPr>
        <w:t xml:space="preserve">«Подготовка отчета о деятельности </w:t>
      </w:r>
      <w:r w:rsidRPr="0055410C">
        <w:rPr>
          <w:rFonts w:ascii="Liberation Serif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  <w:r w:rsidRPr="0055410C">
        <w:rPr>
          <w:rFonts w:ascii="Liberation Serif" w:hAnsi="Liberation Serif" w:cs="Liberation Serif"/>
          <w:w w:val="105"/>
          <w:sz w:val="28"/>
          <w:szCs w:val="28"/>
        </w:rPr>
        <w:t>»</w:t>
      </w:r>
      <w:r w:rsidRPr="0055410C">
        <w:rPr>
          <w:rFonts w:ascii="Liberation Serif" w:hAnsi="Liberation Serif" w:cs="Liberation Serif"/>
          <w:sz w:val="28"/>
          <w:szCs w:val="28"/>
        </w:rPr>
        <w:t>, утвержденным приказом Контрольно-счетного органа от 22.01.2024 № 7.</w:t>
      </w:r>
    </w:p>
    <w:p w:rsidR="0055410C" w:rsidRPr="0055410C" w:rsidRDefault="0055410C" w:rsidP="0055410C">
      <w:pPr>
        <w:tabs>
          <w:tab w:val="left" w:pos="0"/>
        </w:tabs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Контрольно-счетный орган является постоянно действующим органом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по осуществлению внешнего муниципального финансового контроля, создан Думой Каменск-Уральского городского округа (далее – Дума, Дума городского округа) и ей подотчетен.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Контрольно-счетный орган реализует свои полномочия в соответствии с Бюджетным Кодексом РФ,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об органе местного самоуправления «Контрольно-счетный орган Каменск-Уральского городского округа», Положением о бюджетном процессе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в Каменск-Уральском городском округе, утвержденным решением Думы </w:t>
      </w:r>
      <w:r w:rsidRPr="0055410C">
        <w:rPr>
          <w:rFonts w:ascii="Liberation Serif" w:hAnsi="Liberation Serif" w:cs="Liberation Serif"/>
          <w:sz w:val="28"/>
          <w:szCs w:val="28"/>
        </w:rPr>
        <w:br/>
        <w:t>от 27.11.2013 № 214 (с изменениями).</w:t>
      </w:r>
      <w:proofErr w:type="gramEnd"/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Для реализации целей и задач деятельности Контрольно-счетный орган наделен полномочиями, в рамках которых осуществляет: предварительный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формированием бюджета и последующий контроль за его исполнением; осуществляет контроль за законностью и эффективностью использования средств местного бюджета, состоянием муниципального долга, эффективностью формирования управления и распоряжения муниципальной собственностью; проводит аудит закупок, финансово-экономическую экспертизу муниципальных программ, проектов нормативно-правовых актов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 части, касающейся расходных обязательств, а также приводящих к изменению доходов местного бюджета; проводит анализ и мониторинг бюджетного процесса, оценку реализуемости, рисков и результатов достижения целей социально-экономического развития городского округа, предусмотренных документами стратегического планирования, эффективности предоставления налоговых и иных льгот и преимуществ, а так же осуществляет иные полномочия в сфере внешнего муниципального финансового контроля, установленные законодательством.</w:t>
      </w:r>
    </w:p>
    <w:p w:rsidR="0055410C" w:rsidRPr="0055410C" w:rsidRDefault="0055410C" w:rsidP="0055410C">
      <w:pPr>
        <w:tabs>
          <w:tab w:val="left" w:pos="0"/>
        </w:tabs>
        <w:ind w:right="-113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55410C" w:rsidRDefault="0055410C" w:rsidP="0055410C">
      <w:pPr>
        <w:tabs>
          <w:tab w:val="left" w:pos="0"/>
        </w:tabs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 xml:space="preserve">2. Результаты деятельности Контрольно-счетного органа </w:t>
      </w:r>
    </w:p>
    <w:p w:rsidR="0055410C" w:rsidRPr="0055410C" w:rsidRDefault="0055410C" w:rsidP="0055410C">
      <w:pPr>
        <w:tabs>
          <w:tab w:val="left" w:pos="0"/>
        </w:tabs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в отчетном году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Деятельность Контрольно-счетного органа в отчетном периоде осуществлялась в соответствии с планом работы на 2025 год, утвержденным приказом Контрольно-счетного органа от 27.12.2024 № 24.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процессе реализации задач и полномочий, определенных законодательством, Контрольно-счетный орган осуществлял внешний муниципальный финансовый контроль в форме контрольных и экспертно-аналитических мероприятий, финансово-экономических экспертиз муниципальных нормативно-правовых актов.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Приоритетным направлением деятельности Контрольно-счетного органа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2025 году оставалось: осуществление контроля за формированием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 исполнением бюджета, эффективностью управления расходами местного бюджета, распоряжения имуществом муниципальной казны; проверка соблюдения законодательства при осуществлении закупок товаров, работ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и услуг для муниципальных нужд; оценка качества нормативно-правовых актов </w:t>
      </w:r>
      <w:r w:rsidRPr="0055410C">
        <w:rPr>
          <w:rFonts w:ascii="Liberation Serif" w:hAnsi="Liberation Serif" w:cs="Liberation Serif"/>
          <w:sz w:val="28"/>
          <w:szCs w:val="28"/>
        </w:rPr>
        <w:br/>
        <w:t>и муниципальных программ; исполнение бюджетных полномочий главными распорядителями бюджетных средств;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повышение уровня финансовой дисциплины всех участников бюджетного процесса.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План работы контрольно-счетного органа включает в себя выполнение всех полномочий, определенных Федеральным законом от 07.02.2011 № 6-ФЗ </w:t>
      </w:r>
      <w:r w:rsidRPr="0055410C">
        <w:rPr>
          <w:rFonts w:ascii="Liberation Serif" w:hAnsi="Liberation Serif" w:cs="Liberation Serif"/>
          <w:sz w:val="28"/>
          <w:szCs w:val="28"/>
        </w:rPr>
        <w:br/>
        <w:t>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 (далее – Федеральный закон № 6-ФЗ).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в 2025 году организовано и завершено: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- 4 контрольных мероприятия, в том числе: 1 проверка годовой бюджетной отчетности у 11 главных администраторов бюджетных средств, </w:t>
      </w:r>
      <w:r w:rsidRPr="0055410C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1 проверка по письму Думы городского округа, 2 – по письму Главы городского округа;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- 11 экспертно-аналитических мероприятий, в том числе: 7 – в рамках формирования и исполнения бюджета, 2 мероприятия по письму Думы, </w:t>
      </w:r>
      <w:r w:rsidRPr="0055410C">
        <w:rPr>
          <w:rFonts w:ascii="Liberation Serif" w:hAnsi="Liberation Serif" w:cs="Liberation Serif"/>
          <w:sz w:val="28"/>
          <w:szCs w:val="28"/>
        </w:rPr>
        <w:br/>
        <w:t>1 мероприятие по письму Главы, 1 совместное мероприятие со Счетной палатой Свердловской области;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- 116 финансово-экономических экспертиз проектов муниципальных нормативно-правовых актов, в том числе 5 экспертиз проектов решений Думы </w:t>
      </w:r>
      <w:r w:rsidRPr="0055410C">
        <w:rPr>
          <w:rFonts w:ascii="Liberation Serif" w:hAnsi="Liberation Serif" w:cs="Liberation Serif"/>
          <w:sz w:val="28"/>
          <w:szCs w:val="28"/>
        </w:rPr>
        <w:br/>
        <w:t>в рамках исполнения бюджета.</w:t>
      </w:r>
    </w:p>
    <w:p w:rsidR="0055410C" w:rsidRPr="0055410C" w:rsidRDefault="0055410C" w:rsidP="0055410C">
      <w:pPr>
        <w:ind w:right="-113"/>
        <w:jc w:val="both"/>
        <w:rPr>
          <w:rFonts w:ascii="Liberation Serif" w:hAnsi="Liberation Serif" w:cs="Liberation Serif"/>
          <w:i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2.1. Результаты контрольных мероприятий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отчетном периоде проведено 4 контрольные мероприятия: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внешняя проверка годовой бюджетной отчетности 11 главных администраторов бюджетных средств за 2024 год;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проверка соблюдения порядка учета и распоряжения имуществом Каменск-Уральского городского округа, переданного в оперативное ведение муниципальному автономному общеобразовательному учреждению «Лицей № 9» за 2024 год;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проверка использования субсидий, предоставленных муниципальному бюджетному учреждению «Центр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психолого-медико-социального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сопровождения» из местного бюджета, их отражения в бухгалтерском учете </w:t>
      </w:r>
      <w:r w:rsidRPr="0055410C">
        <w:rPr>
          <w:rFonts w:ascii="Liberation Serif" w:hAnsi="Liberation Serif" w:cs="Liberation Serif"/>
          <w:sz w:val="28"/>
          <w:szCs w:val="28"/>
        </w:rPr>
        <w:br/>
        <w:t>и бухгалтерской финансовой отчетности, порядка учета и распоряжения имуществом» в 2024 году (при необходимости – иные периоды);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аудит в сфере закупок товаров, работ и услуг, осуществляемых Территориальным органом Администрации Каменск-Уральского городского округа «Администрация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Синарского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района» в 2024 году.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Проверками охвачено 14 объектов, проверено средств местного бюджета </w:t>
      </w:r>
      <w:r w:rsidRPr="0055410C">
        <w:rPr>
          <w:rFonts w:ascii="Liberation Serif" w:hAnsi="Liberation Serif" w:cs="Liberation Serif"/>
          <w:sz w:val="28"/>
          <w:szCs w:val="28"/>
        </w:rPr>
        <w:br/>
        <w:t>в объеме 50 973,5 тыс. руб., из них муниципальное имущество балансовой стоимостью 34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 136,7 </w:t>
      </w:r>
      <w:r w:rsidRPr="0055410C">
        <w:rPr>
          <w:rFonts w:ascii="Liberation Serif" w:hAnsi="Liberation Serif" w:cs="Liberation Serif"/>
          <w:sz w:val="28"/>
          <w:szCs w:val="28"/>
        </w:rPr>
        <w:t>тыс. руб., составлено 14 актов, в том числе 11 – в рамках внешней проверки годовой бюджетной отчетности главных администраторов бюджетных средств.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В актах проверок годовой бюджетной отчетности 11 главных распорядителей бюджетных средств отмечено о достаточной полноте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и приемлемом уровне достоверности представленной отчетности, соответствии показателей бюджетных назначений главных распорядителей бюджетных средств показателям Сводной бюджетной росписи.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Нарушения не установлены.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ходе трех контрольных мероприятий выявлено 16 нарушений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 недостатков в финансово-бюджетной сфере на общую сумму 256,4 тыс. руб.,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а так же нарушения действующего законодательства, не имеющие стоимостного выражения. Из них: на 194,8 тыс. руб. установлены нарушения при ведении бухгалтерского учета и составления бюджетной отчетности, что составляет 76,0 % от общего объема нарушений; при осуществлении муниципальных закупок – нарушения составили 60,1 тыс. руб. или 23,4 %; при формировании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и исполнении бюджета – 1,5 тыс. руб. (0,6 процента).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>Нарушения, выявленные контрольными мероприятиями, в разрезе объектов контроля: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 xml:space="preserve">Муниципальное бюджетное учреждение «Центр </w:t>
      </w:r>
      <w:proofErr w:type="spellStart"/>
      <w:r w:rsidRPr="0055410C">
        <w:rPr>
          <w:rFonts w:ascii="Liberation Serif" w:hAnsi="Liberation Serif" w:cs="Liberation Serif"/>
          <w:i/>
          <w:sz w:val="28"/>
          <w:szCs w:val="28"/>
        </w:rPr>
        <w:t>психолого-медико-социального</w:t>
      </w:r>
      <w:proofErr w:type="spellEnd"/>
      <w:r w:rsidRPr="0055410C">
        <w:rPr>
          <w:rFonts w:ascii="Liberation Serif" w:hAnsi="Liberation Serif" w:cs="Liberation Serif"/>
          <w:i/>
          <w:sz w:val="28"/>
          <w:szCs w:val="28"/>
        </w:rPr>
        <w:t xml:space="preserve"> сопровождения» (далее – ЦПМС)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Бюджетного кодекса РФ: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выполнении работ, оказании услуг </w:t>
      </w:r>
      <w:r w:rsidRPr="0055410C">
        <w:rPr>
          <w:rFonts w:ascii="Liberation Serif" w:hAnsi="Liberation Serif" w:cs="Liberation Serif"/>
          <w:sz w:val="28"/>
          <w:szCs w:val="28"/>
        </w:rPr>
        <w:br/>
        <w:t>не включено условие о возможности его изменения в случае уменьшения ранее доведенных лимитов бюджетных обязательств;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при закупке товаров не обеспечена их результативность. Приобретенный журнальный стол не собран и не введен в эксплуатацию более 1 года.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законодательства, регулирующего закупки товаров, работ, услуг для обеспечения муниципальных нужд: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установленный в плане-графике на 2024 год объем закупок меньше утвержденного планом ФХД на 29,7 тыс. руб.;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закупка товаров, работ и услуг в 2024 году произведена в объемах превышающих сумму, утвержденную планом-графиком на 29,7 тыс. рублей.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требований, предъявляемых к правилам ведения бухгалтерского учета: 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на 3 объектах имущества отсутствуют инвентарные номера, </w:t>
      </w:r>
      <w:r w:rsidRPr="0055410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что не обеспечивает контроль над</w:t>
      </w:r>
      <w:r w:rsidRPr="0055410C">
        <w:rPr>
          <w:rFonts w:ascii="Liberation Serif" w:hAnsi="Liberation Serif" w:cs="Liberation Serif"/>
          <w:sz w:val="28"/>
          <w:szCs w:val="28"/>
        </w:rPr>
        <w:t xml:space="preserve"> их сохранностью;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не начислен резерв на оплату отпусков и страховых взносов сотрудников,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результате чего занижены показатели годовой отчетности на начало и конец отчетного периода, что влечет за собой недостоверное представление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о финансовом положении Учреждения;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плановые назначения по прочей закупке товаров, работ и услуг </w:t>
      </w:r>
      <w:r w:rsidRPr="0055410C">
        <w:rPr>
          <w:rFonts w:ascii="Liberation Serif" w:hAnsi="Liberation Serif" w:cs="Liberation Serif"/>
          <w:sz w:val="28"/>
          <w:szCs w:val="28"/>
        </w:rPr>
        <w:br/>
        <w:t>в годовой отчетности не соответствуют плановым показателям, утвержденным планом ФХД, на 194,8 тыс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.р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>ублей.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требований распорядительных документов: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завышен размер квартальной премии директору 1,5 тыс. руб.;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должностной оклад заместителя директора выше размера, установленного Положением об оплате труда, на 16,0 %;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изменения в плане ФХД за 2024 год утверждены в конце февраля 2025 года, вместо установленного нормативно-правовым актом срока – в конце текущего года.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>Муниципальное автономное общеобразовательное учреждение «Лицей № 9» (далее – Лицей 9)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нормативно-правовых актов, регламентирующих порядок ведения бухгалтерского учета: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Учреждением не обеспечен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сохранностью имущества.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На семи объектах особо ценного имущества, отсутствуют инвентарные номера, </w:t>
      </w:r>
      <w:r w:rsidRPr="0055410C">
        <w:rPr>
          <w:rFonts w:ascii="Liberation Serif" w:hAnsi="Liberation Serif" w:cs="Liberation Serif"/>
          <w:sz w:val="28"/>
          <w:szCs w:val="28"/>
        </w:rPr>
        <w:br/>
        <w:t>что не позволяет их идентифицировать и сличить с данными бухгалтерского учета.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Нарушение свидетельствует о формальном подходе при проведении Учреждением инвентаризации имущества;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- при передаче имущества по договорам безвозмездного пользования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(для организации питания), инвентаризация имущества не проводилась.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требований правового акта городского округа: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Учреждением не обеспечено оперативное отражение сведений в Реестре объектов муниципальной собственности. Информация о трех поступивших объектах особо ценного движимого имущества предоставлены в ОМС «Управление образования» для включения их в Реестр позднее установленного недельного срока от 4 до 215 дней.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нарушение требований Бюджетного кодекса РФ: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в договоры о поставке товаров, подлежащих оплате за счет субсидий </w:t>
      </w:r>
      <w:r w:rsidRPr="0055410C">
        <w:rPr>
          <w:rFonts w:ascii="Liberation Serif" w:hAnsi="Liberation Serif" w:cs="Liberation Serif"/>
          <w:sz w:val="28"/>
          <w:szCs w:val="28"/>
        </w:rPr>
        <w:br/>
        <w:t>на финансовое обеспечение выполнения муниципального задания, не включено условие о возможности его изменения в случае уменьшения ранее доведенных лимитов бюджетных обязательств.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 xml:space="preserve">Территориальный орган Администрации Каменск-Уральского городского округа «Администрация </w:t>
      </w:r>
      <w:proofErr w:type="spellStart"/>
      <w:r w:rsidRPr="0055410C">
        <w:rPr>
          <w:rFonts w:ascii="Liberation Serif" w:hAnsi="Liberation Serif" w:cs="Liberation Serif"/>
          <w:i/>
          <w:sz w:val="28"/>
          <w:szCs w:val="28"/>
        </w:rPr>
        <w:t>Синарского</w:t>
      </w:r>
      <w:proofErr w:type="spellEnd"/>
      <w:r w:rsidRPr="0055410C">
        <w:rPr>
          <w:rFonts w:ascii="Liberation Serif" w:hAnsi="Liberation Serif" w:cs="Liberation Serif"/>
          <w:i/>
          <w:sz w:val="28"/>
          <w:szCs w:val="28"/>
        </w:rPr>
        <w:t xml:space="preserve"> района»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нарушение федерального законодательства и нормативно-правового акта, регулирующего осуществление закупок и порядок размещения планов-графиков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единой информационной системе в сфере закупок: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осуществлены закупки услуг на сумму 0,8 тыс. руб., не предусмотренные утвержденным планом-графиком;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изменения в план-график внесены на 12 дней позднее установленного срока.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О результатах проведенных контрольных мероприятий Контрольно-счетный орган информировал Думу и Главу городского округа.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Из 4 контрольных мероприятий материалы 3 проверок (за исключением внешней проверки годовой бюджетной отчетности) направлены в Прокуратуру города Каменска-Уральского.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 результатам контрольных действий Контрольно-счетным органов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 адрес объектов контроля вынесено три представления.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рамках исполнения требований представлений объектами контроля приняты меры: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>ЦПМСС: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издан правовой акт - приказом внесены изменения в штатное расписание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с целью приведения должностного оклада заместителя директора в соответствие </w:t>
      </w:r>
      <w:r w:rsidRPr="0055410C">
        <w:rPr>
          <w:rFonts w:ascii="Liberation Serif" w:hAnsi="Liberation Serif" w:cs="Liberation Serif"/>
          <w:sz w:val="28"/>
          <w:szCs w:val="28"/>
        </w:rPr>
        <w:br/>
        <w:t>с Положением об оплате труда учреждения;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t>- журнальный стол собран и введен в эксплуатацию;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t>- на объекты учета нанесены инвентарные номера;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- излишне выплаченная премия и сумма, превышающая размер должностного оклада, руководителем и его заместителем внесены на лицевой счет Учреждения;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t>- </w:t>
      </w:r>
      <w:proofErr w:type="gramStart"/>
      <w:r w:rsidRPr="0055410C">
        <w:rPr>
          <w:rFonts w:ascii="Liberation Serif" w:hAnsi="Liberation Serif" w:cs="Liberation Serif"/>
          <w:color w:val="000000"/>
          <w:sz w:val="28"/>
          <w:szCs w:val="28"/>
        </w:rPr>
        <w:t>с контрактным управляющим проведена беседа о недопущении нарушений действующего законодательства о закупках в части установления объема закупок в плане</w:t>
      </w:r>
      <w:proofErr w:type="gramEnd"/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 графике в соответствие с планом ФХД и осуществления закупок в объемах, установленных планом графиком;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- требования о необходимости соблюдения сроков составления 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и утверждения планов ФХД, соответствия плановых показателей в годовой отчетности с показателями плана ФХД, начисления резерва на оплату отпусков 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br/>
        <w:t>и страховых взносов работников доведены до МКУ «ЦБЭО», осуществляющего бухгалтерское обслуживание Учреждения;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- во вновь заключаемые договоры о поставке товаров, выполнении работ, оказании услуг включается условие </w:t>
      </w:r>
      <w:r w:rsidRPr="0055410C">
        <w:rPr>
          <w:rFonts w:ascii="Liberation Serif" w:hAnsi="Liberation Serif" w:cs="Liberation Serif"/>
          <w:sz w:val="28"/>
          <w:szCs w:val="28"/>
        </w:rPr>
        <w:t>о возможности его изменения в случае уменьшения ранее доведенных лимитов бюджетных обязательств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>Лицей № 9: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издано 2 правовых акта: приказ о назначении ответственного лица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за предоставление информации о поступивших объектах особо ценного движимого имущества; приказ о внесении изменений в Учетную политику – включено положение о проведении инвентаризации при передаче имущества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 безвозмездное пользование;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материально-ответственным лицом проведена работа по нанесению отсутствующих инвентарных номеров на объектах основных средств;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в договоры о поставке товаров, выполнении работ, оказании услуг включается условие о возможности его изменения в случае уменьшения ранее доведенных лимитов бюджетных обязательств.</w:t>
      </w:r>
    </w:p>
    <w:p w:rsidR="0055410C" w:rsidRPr="0055410C" w:rsidRDefault="0055410C" w:rsidP="0055410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 xml:space="preserve">Администрация </w:t>
      </w:r>
      <w:proofErr w:type="spellStart"/>
      <w:r w:rsidRPr="0055410C">
        <w:rPr>
          <w:rFonts w:ascii="Liberation Serif" w:hAnsi="Liberation Serif" w:cs="Liberation Serif"/>
          <w:i/>
          <w:sz w:val="28"/>
          <w:szCs w:val="28"/>
        </w:rPr>
        <w:t>Синарского</w:t>
      </w:r>
      <w:proofErr w:type="spellEnd"/>
      <w:r w:rsidRPr="0055410C">
        <w:rPr>
          <w:rFonts w:ascii="Liberation Serif" w:hAnsi="Liberation Serif" w:cs="Liberation Serif"/>
          <w:i/>
          <w:sz w:val="28"/>
          <w:szCs w:val="28"/>
        </w:rPr>
        <w:t xml:space="preserve"> района:</w:t>
      </w:r>
    </w:p>
    <w:p w:rsidR="0055410C" w:rsidRPr="0055410C" w:rsidRDefault="0055410C" w:rsidP="0055410C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проведено совещание коллектива, в ходе которого принято решение </w:t>
      </w:r>
      <w:r w:rsidRPr="0055410C">
        <w:rPr>
          <w:rFonts w:ascii="Liberation Serif" w:hAnsi="Liberation Serif" w:cs="Liberation Serif"/>
          <w:sz w:val="28"/>
          <w:szCs w:val="28"/>
        </w:rPr>
        <w:br/>
        <w:t>об усилении контроля при осуществлении закупок в части их соответствия утвержденному плану-графику и своевременного внесения изменений в план-график.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По результатам рассмотрения материалов, направленных Контрольно-счетным органом, Прокуратурой города Каменска-Уральского в адрес руководителя одного объекта контроля внесено представление об устранении нарушений законодательства. По другим материалам информация о принятии мер прокурорского реагирования, либо отсутствии оснований для его принятия,</w:t>
      </w:r>
      <w:r w:rsidRPr="0055410C">
        <w:rPr>
          <w:rFonts w:ascii="Liberation Serif" w:hAnsi="Liberation Serif" w:cs="Liberation Serif"/>
          <w:sz w:val="28"/>
          <w:szCs w:val="28"/>
        </w:rPr>
        <w:br/>
        <w:t>в Контрольно-счетный орган не поступала.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2.2. Результаты экспертно-аналитических мероприятий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За отчетный период Контрольно-счетным органом проведено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11 экспертно-аналитических мероприятий, в том числе: 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7 – в рамках контроля формирования и исполнения бюджета, в том числе: внешняя проверка годового отчета об исполнении бюджета городского округа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за 2024 год; экспертиза проекта решения Думы об исполнении бюджета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за 2024 год; 3 экспертизы по исполнению бюджета (за 1 квартал, полугодие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 9 месяцев 2025 года); 2 экспертизы по проекту бюджета на 2026 год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и плановый период 2027 и 2028 годов (с учетом поправок в оценке расходных полномочий, одобренных Законодательным собранием Свердловской области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во втором чтении);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о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ценка информативности сайтов органа местного самоуправления «Управление по физической культуре и спорту Каменск-Уральского городского округа» и подведомственных ему учреждений;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- оценка эффективности использования бюджетных средств на механизмы инициативного </w:t>
      </w:r>
      <w:proofErr w:type="spellStart"/>
      <w:r w:rsidRPr="0055410C">
        <w:rPr>
          <w:rFonts w:ascii="Liberation Serif" w:hAnsi="Liberation Serif" w:cs="Liberation Serif"/>
          <w:color w:val="000000"/>
          <w:sz w:val="28"/>
          <w:szCs w:val="28"/>
        </w:rPr>
        <w:t>бюджетирования</w:t>
      </w:r>
      <w:proofErr w:type="spellEnd"/>
      <w:r w:rsidRPr="0055410C">
        <w:rPr>
          <w:rFonts w:ascii="Liberation Serif" w:hAnsi="Liberation Serif" w:cs="Liberation Serif"/>
          <w:color w:val="000000"/>
          <w:sz w:val="28"/>
          <w:szCs w:val="28"/>
        </w:rPr>
        <w:t xml:space="preserve"> в 2024 году</w:t>
      </w:r>
      <w:r w:rsidRPr="0055410C">
        <w:rPr>
          <w:rFonts w:ascii="Liberation Serif" w:hAnsi="Liberation Serif" w:cs="Liberation Serif"/>
          <w:sz w:val="28"/>
          <w:szCs w:val="28"/>
        </w:rPr>
        <w:t>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оценка эффективности применения в 2023 и 2024 годах налоговых льгот </w:t>
      </w:r>
      <w:r w:rsidRPr="0055410C">
        <w:rPr>
          <w:rFonts w:ascii="Liberation Serif" w:hAnsi="Liberation Serif" w:cs="Liberation Serif"/>
          <w:sz w:val="28"/>
          <w:szCs w:val="28"/>
        </w:rPr>
        <w:br/>
        <w:t>по земельному налогу в Каменск-Уральском городском округе;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оценка эффективности использования бюджетных средств, выделенных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2023 и 2024 годах на привлечение педагогических работников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 муниципальные общеобразовательные организации (совместно со Счетной палатой Свердловской области).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Экспертно-аналитическими мероприятиями охвачено 28 объектов, </w:t>
      </w:r>
      <w:r w:rsidRPr="0055410C">
        <w:rPr>
          <w:rFonts w:ascii="Liberation Serif" w:hAnsi="Liberation Serif" w:cs="Liberation Serif"/>
          <w:sz w:val="28"/>
          <w:szCs w:val="28"/>
        </w:rPr>
        <w:br/>
        <w:t>в том числе 10 в рамках контроля формирования и исполнения бюджета.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По итогам внешней проверки годового отчета об исполнении бюджета городского округа за 2024 год и экспертизы проекта решения Думы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об исполнении бюджета за 2024 год отмечено: бюджет городского округа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по доходам исполнен на 100,5 % к утвержденным назначениям, в том числе </w:t>
      </w:r>
      <w:r w:rsidR="009B5943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за счет собственных доходов местного бюджета на 102,4 %, безвозмездных поступлений –99,6 процента.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По расходам – на 97,6 процента. По итогам исполнения бюджета сложился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профицит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бюджета в сумме 296 089,4 тыс. рублей. Показатели по исполнению доходов и расходов бюджета соответствуют показателям годовой бюджетной отчетности главных администраторов доходов бюджета, главных распорядителей бюджетных средств, главных администраторов источников финансирования дефицита бюджета.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заключениях по экспертизе исполнения бюджета отмечалось: исполнение доходной части бюджета по собственным доходам (налоговым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и неналоговым доходам) составило: за первый квартал – 16,5 %, первое полугодие – 44,4 %, девять месяцев 2025 года – 66,9 % от объема годовых назначений. 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Исполнение расходной части бюджета в 2025 году составило: за первый квартал – 17,4 %, первое полугодие – 43,5 %, девять месяцев – 66,4 % от объема плановых назначений.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Исполнение расходных обязатель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ств гл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авными распорядителями бюджетных средств осуществлялось в рамках реализации мероприятий муниципальных программ и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непрограммных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мероприятий.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 результатам проведенной экспертизы проекта бюджета на 2026 год </w:t>
      </w:r>
      <w:r w:rsidRPr="0055410C">
        <w:rPr>
          <w:rFonts w:ascii="Liberation Serif" w:hAnsi="Liberation Serif" w:cs="Liberation Serif"/>
          <w:sz w:val="28"/>
          <w:szCs w:val="28"/>
        </w:rPr>
        <w:br/>
        <w:t>и плановый период 2027 и 2028 годов в заключении отмечается.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Проект решения о бюджете по составу и содержанию соответствует требованиям бюджетного законодательства.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При формировании параметров бюджета соблюдены ограничения, установленные Бюджетным кодексом РФ в части размера дефицита бюджета, объема муниципального долга, расходов на его обслуживание, объема условно утверждаемых расходов планового периода.</w:t>
      </w:r>
    </w:p>
    <w:p w:rsidR="0055410C" w:rsidRPr="0055410C" w:rsidRDefault="0055410C" w:rsidP="0055410C">
      <w:pPr>
        <w:pStyle w:val="Style1"/>
        <w:widowControl/>
        <w:spacing w:line="240" w:lineRule="auto"/>
        <w:ind w:right="-113" w:firstLine="709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Прогнозный объем налоговых и неналоговых доходов рассчитан Министерством финансов Свердловской области в соответствии с Методикой, утвержденной Правительством Свердловской области.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Показатели бюджета по доходам в 2026 году в сравнении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с первоначальным бюджетом 2025 года запланированы ниже на 4,7 %, в том </w:t>
      </w: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числе за счет роста собственных доходов на 17,3 % и уменьшения безвозмездных поступлений на 15,1 процента. По расходам – со снижением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на 4,9 процента. 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плановом периоде доходы запланированы: 2027 год - со снижением в 2,8 %, при этом по собственным доходам с ростом в 4,0 %, по безвозмездным поступлениям – с уменьшением на 7,3 %; 2028 год - с ростом в 4,9 %, в том числе за счет увеличения собственных доходов на 4,4 %, безвозмездных поступлений –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на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5,3 процента.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Расходы бюджета в плановом периоде снижены на 5,7 % в 2027 году </w:t>
      </w:r>
      <w:r w:rsidRPr="0055410C">
        <w:rPr>
          <w:rFonts w:ascii="Liberation Serif" w:hAnsi="Liberation Serif" w:cs="Liberation Serif"/>
          <w:sz w:val="28"/>
          <w:szCs w:val="28"/>
        </w:rPr>
        <w:br/>
        <w:t>и увеличены на 3,9 % в 2028 году.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Бюджет 2026 года принят с дефицитом в 7,1 процента. В плановом периоде бюджет сбалансирован.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Основным источником погашения дефицита бюджета остаются остатки средств на счетах по учету бюджета.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>«Оценка информативности сайтов органа местного самоуправления «Управление по физической культуре и спорту Каменск-Уральского городского округа» и подведомственных ему учреждений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рамках экспертно-аналитического мероприятия проверены сайты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6 учреждений спорта, из них в 4-х установлены нарушения нормативно-правовых актов Правительства Российской Федерации, локально-правового акта органа местного самоуправления «Управление по физической культуре и спорту Каменск-Уральского городского округа»: 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МАУДО «Спортивная школа города Каменска-Уральского» -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не размещена информация о руководителе, его заместителях;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МАУ «Центр развития физической культуры и спорта города Каменска-Уральского» - не размещены сведения о полномочиях, задачах и функциях организации, ее структурных подразделений; сайт содержит ссылки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на несуществующие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веб-страницы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и не загружаемые файлы;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МАУ «Спортивный комплекс «Космос» - не размещены нормативные правовые акты, определяющие полномочия, задачи и функции Учреждения; отсутствует перечень товаров, работ, услуг, участниками которых являются субъекты малого и среднего предпринимательства; наличие не актуальной ссылки;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МАУДО «Каменск-Уральская спортивная школа по техническим видам спорта «Юность-ДОСААФ» - не размещена информация: о финансово-хозяйственной деятельности; о материально-техническом обеспечении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 оснащенности образовательного процесса; о платных услугах;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о международном сотрудничестве; об условиях питания и охраны здоровья обучающихся; отсутствует перечень товаров, работ, услуг, участниками которых являются субъекты малого и среднего предпринимательства; не размещен отчет о деятельности автономного учреждения и об использовании закрепленного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за ним имущества; наличие неактуальной ссылки.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Объектами экспертно-аналитического мероприятия приняты меры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>по устранению нарушений: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lastRenderedPageBreak/>
        <w:t xml:space="preserve">- МАУ «Спортивная школа города Каменска-Уральского»: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</w:r>
      <w:r w:rsidRPr="0055410C">
        <w:rPr>
          <w:rFonts w:ascii="Liberation Serif" w:hAnsi="Liberation Serif" w:cs="Liberation Serif"/>
          <w:iCs/>
          <w:sz w:val="28"/>
          <w:szCs w:val="28"/>
        </w:rPr>
        <w:t>на официальном сайте учреждения размещена информация о руководителе, его заместителях;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МАУ «Центр развития физической культуры и спорта города Каменска-Уральского»: на официальном сайте учреждения размещены сведения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 xml:space="preserve">о полномочиях, задачах и функциях организации, ее структурных подразделений; удалены ссылки на несуществующие </w:t>
      </w:r>
      <w:proofErr w:type="spellStart"/>
      <w:r w:rsidRPr="0055410C">
        <w:rPr>
          <w:rFonts w:ascii="Liberation Serif" w:hAnsi="Liberation Serif" w:cs="Liberation Serif"/>
          <w:iCs/>
          <w:sz w:val="28"/>
          <w:szCs w:val="28"/>
        </w:rPr>
        <w:t>веб-страницы</w:t>
      </w:r>
      <w:proofErr w:type="spellEnd"/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</w:r>
      <w:r w:rsidRPr="0055410C">
        <w:rPr>
          <w:rFonts w:ascii="Liberation Serif" w:hAnsi="Liberation Serif" w:cs="Liberation Serif"/>
          <w:iCs/>
          <w:sz w:val="28"/>
          <w:szCs w:val="28"/>
        </w:rPr>
        <w:t>и не загружаемые файлы;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МАУ «Спортивный комплекс «Космос»: официальный сайт учреждения обновлен, на нем размещены </w:t>
      </w:r>
      <w:r w:rsidRPr="0055410C">
        <w:rPr>
          <w:rFonts w:ascii="Liberation Serif" w:hAnsi="Liberation Serif" w:cs="Liberation Serif"/>
          <w:sz w:val="28"/>
          <w:szCs w:val="28"/>
        </w:rPr>
        <w:t>нормативно правовые акты, определяющие полномочия, задачи и функции учреждения,</w:t>
      </w: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отсутствующая ранее информация: перечень товаров, работ, услуг, участниками которых являются субъекты малого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>и среднего предпринимательства, устав учреждения, новости и объявления, актуализированы ссылки;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МАУ «Каменск-Уральская спортивная школа по техническим видам спорта «Юность-ДОСААФ: на официальном сайте учреждения размещены сведения: о финансово-хозяйственной деятельности; материально-техническом обеспечении и оснащенности образовательного процесса; платных услугах;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</w:r>
      <w:r w:rsidRPr="0055410C">
        <w:rPr>
          <w:rFonts w:ascii="Liberation Serif" w:hAnsi="Liberation Serif" w:cs="Liberation Serif"/>
          <w:iCs/>
          <w:sz w:val="28"/>
          <w:szCs w:val="28"/>
        </w:rPr>
        <w:t>о международном сотрудничестве; об условиях питания и охраны здоровья обучающихся; перечень товаров, работ, услуг, участниками которых являются субъекты малого и среднего предпринимательства; отчет о деятельности автономного учреждения и об использовании закрепленного за ним имущества; удалена не актуальная ссылка.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 xml:space="preserve">«Оценка эффективности использования бюджетных средств на механизмы инициативного </w:t>
      </w:r>
      <w:proofErr w:type="spellStart"/>
      <w:r w:rsidRPr="0055410C">
        <w:rPr>
          <w:rFonts w:ascii="Liberation Serif" w:hAnsi="Liberation Serif" w:cs="Liberation Serif"/>
          <w:i/>
          <w:sz w:val="28"/>
          <w:szCs w:val="28"/>
        </w:rPr>
        <w:t>бюджетирования</w:t>
      </w:r>
      <w:proofErr w:type="spellEnd"/>
      <w:r w:rsidRPr="0055410C">
        <w:rPr>
          <w:rFonts w:ascii="Liberation Serif" w:hAnsi="Liberation Serif" w:cs="Liberation Serif"/>
          <w:i/>
          <w:sz w:val="28"/>
          <w:szCs w:val="28"/>
        </w:rPr>
        <w:t>» в 2024 году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рамках экспертно-аналитического мероприятия проверено 7 объектов. Установлены нарушения Федерального закона о закупках, Технического регламента, правовых актов городского округа по 6 объектам: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Отдел по развитию территории и муниципальному строительству Администрации - в отчете о внедрении и развитии механизмов инициативного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бюджетирования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за 2024 год искажены данные в разрезе средств областного </w:t>
      </w:r>
      <w:r w:rsidRPr="0055410C">
        <w:rPr>
          <w:rFonts w:ascii="Liberation Serif" w:hAnsi="Liberation Serif" w:cs="Liberation Serif"/>
          <w:sz w:val="28"/>
          <w:szCs w:val="28"/>
        </w:rPr>
        <w:br/>
        <w:t>и местного бюджетов;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МКУ «УКС» - не обеспечен строительный контроль и надзор за качеством применяемых материалов при исполнении контракта на выполнение работ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по благоустройству объекта инициативного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бюджетирования</w:t>
      </w:r>
      <w:proofErr w:type="spellEnd"/>
      <w:r w:rsidRPr="0055410C">
        <w:rPr>
          <w:rFonts w:ascii="Liberation Serif" w:hAnsi="Liberation Serif" w:cs="Liberation Serif"/>
          <w:sz w:val="28"/>
          <w:szCs w:val="28"/>
        </w:rPr>
        <w:t xml:space="preserve"> (</w:t>
      </w:r>
      <w:r w:rsidRPr="0055410C">
        <w:rPr>
          <w:rFonts w:ascii="Liberation Serif" w:eastAsia="Calibri" w:hAnsi="Liberation Serif" w:cs="Liberation Serif"/>
          <w:sz w:val="28"/>
          <w:szCs w:val="28"/>
        </w:rPr>
        <w:t xml:space="preserve">гирлянда, установленная на объекте благоустройства «Площадь Челябинская принята </w:t>
      </w:r>
      <w:r w:rsidRPr="0055410C">
        <w:rPr>
          <w:rFonts w:ascii="Liberation Serif" w:eastAsia="Calibri" w:hAnsi="Liberation Serif" w:cs="Liberation Serif"/>
          <w:sz w:val="28"/>
          <w:szCs w:val="28"/>
        </w:rPr>
        <w:br/>
        <w:t>без подтверждения ее на соответствие ТУ и ГОСТ, документа, подтверждающего декларирование соответствия, и иных документов, удостоверяющих ее происхождение и качество)</w:t>
      </w:r>
      <w:r w:rsidRPr="0055410C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Отраслевой орган по городскому хозяйству - не обеспечено текущее управление реализации муниципальной программы - показатели на реализацию инициативных проектов, утвержденные постановлением Правительства Свердловской области и установленные соглашением о предоставлении субсидии из областного бюджета, в муниципальную программу не включены;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отчет о реализации муниципальной программы не согласован с Финансово-</w:t>
      </w:r>
      <w:r w:rsidRPr="0055410C">
        <w:rPr>
          <w:rFonts w:ascii="Liberation Serif" w:hAnsi="Liberation Serif" w:cs="Liberation Serif"/>
          <w:sz w:val="28"/>
          <w:szCs w:val="28"/>
        </w:rPr>
        <w:lastRenderedPageBreak/>
        <w:t>бюджетным управлением, в части полноты и правильности отражения в нем средств федерального, областного и местного бюджетов, и не включает в себя средства на реализацию инициативных проектов;</w:t>
      </w:r>
      <w:proofErr w:type="gramEnd"/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МКУ «УГХ», МБУДО «ДШИ № 1», ОМС «Управление культуры» - </w:t>
      </w:r>
      <w:r w:rsidRPr="0055410C">
        <w:rPr>
          <w:rFonts w:ascii="Liberation Serif" w:hAnsi="Liberation Serif" w:cs="Liberation Serif"/>
          <w:sz w:val="28"/>
          <w:szCs w:val="28"/>
        </w:rPr>
        <w:br/>
        <w:t>не обеспечили оперативное отражение сведений в Реестре объектов муниципальной собственности.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В адрес объектов экспертно-аналитического мероприятия Контрольно-счетным органом направлено 6 писем, в которых отражено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 xml:space="preserve">8 рекомендаций об устранении выявленных нарушений и недостатков, 1 письмо главному распорядителю бюджетных средств - с </w:t>
      </w:r>
      <w:r w:rsidR="00060C9E">
        <w:rPr>
          <w:rFonts w:ascii="Liberation Serif" w:hAnsi="Liberation Serif" w:cs="Liberation Serif"/>
          <w:iCs/>
          <w:sz w:val="28"/>
          <w:szCs w:val="28"/>
        </w:rPr>
        <w:t xml:space="preserve">целью осуществления контроля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  <w:t>над</w:t>
      </w: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их устранением.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>По результатам рассмотрения рекомендаций: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Администрацией городского округа проведена разъяснительная беседа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 xml:space="preserve">с сотрудниками, ответственными за предоставление информации, о соблюдении принципов точности и достоверности при составлении Отчета о внедрении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 xml:space="preserve">и развитии механизмов инициативного </w:t>
      </w:r>
      <w:proofErr w:type="spellStart"/>
      <w:r w:rsidRPr="0055410C">
        <w:rPr>
          <w:rFonts w:ascii="Liberation Serif" w:hAnsi="Liberation Serif" w:cs="Liberation Serif"/>
          <w:iCs/>
          <w:sz w:val="28"/>
          <w:szCs w:val="28"/>
        </w:rPr>
        <w:t>бюджетирования</w:t>
      </w:r>
      <w:proofErr w:type="spellEnd"/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и его согласовании 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 xml:space="preserve">с Финансово-бюджетным управлением; 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МКУ «УКС» с сотрудниками проведена разъяснительная беседа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</w: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и указано на соблюдение требований законодательства в части обеспечения </w:t>
      </w:r>
      <w:proofErr w:type="gramStart"/>
      <w:r w:rsidRPr="0055410C">
        <w:rPr>
          <w:rFonts w:ascii="Liberation Serif" w:hAnsi="Liberation Serif" w:cs="Liberation Serif"/>
          <w:iCs/>
          <w:sz w:val="28"/>
          <w:szCs w:val="28"/>
        </w:rPr>
        <w:t>контроля за</w:t>
      </w:r>
      <w:proofErr w:type="gramEnd"/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качеством применяемых при исполнении контрактов материалов;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>- Отраслевой орган по городскому хозяйству - с сотрудниками проведена разъяснительная беседа о недопущении нарушения установленных сроков внесения изменений в муниципальную программу, а также о необходимости согласования отчет</w:t>
      </w:r>
      <w:proofErr w:type="gramStart"/>
      <w:r w:rsidRPr="0055410C">
        <w:rPr>
          <w:rFonts w:ascii="Liberation Serif" w:hAnsi="Liberation Serif" w:cs="Liberation Serif"/>
          <w:iCs/>
          <w:sz w:val="28"/>
          <w:szCs w:val="28"/>
        </w:rPr>
        <w:t>а о ее</w:t>
      </w:r>
      <w:proofErr w:type="gramEnd"/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 реализации с Финансово-бюджетным управлением;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 xml:space="preserve">- ОМС «Управление культуры» - с 01 ноября 2025 года сроки предоставления сведений в Реестр соблюдаются. До подведомственных учреждений доведена информация о сроках направления учредителю сведений </w:t>
      </w:r>
      <w:r w:rsidR="00060C9E">
        <w:rPr>
          <w:rFonts w:ascii="Liberation Serif" w:hAnsi="Liberation Serif" w:cs="Liberation Serif"/>
          <w:iCs/>
          <w:sz w:val="28"/>
          <w:szCs w:val="28"/>
        </w:rPr>
        <w:br/>
      </w:r>
      <w:r w:rsidRPr="0055410C">
        <w:rPr>
          <w:rFonts w:ascii="Liberation Serif" w:hAnsi="Liberation Serif" w:cs="Liberation Serif"/>
          <w:iCs/>
          <w:sz w:val="28"/>
          <w:szCs w:val="28"/>
        </w:rPr>
        <w:t>о приобретении объектов муниципальной собственности;</w:t>
      </w:r>
    </w:p>
    <w:p w:rsidR="0055410C" w:rsidRPr="0055410C" w:rsidRDefault="0055410C" w:rsidP="0055410C">
      <w:pPr>
        <w:tabs>
          <w:tab w:val="left" w:pos="1716"/>
        </w:tabs>
        <w:ind w:right="-113" w:firstLine="72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55410C">
        <w:rPr>
          <w:rFonts w:ascii="Liberation Serif" w:hAnsi="Liberation Serif" w:cs="Liberation Serif"/>
          <w:iCs/>
          <w:sz w:val="28"/>
          <w:szCs w:val="28"/>
        </w:rPr>
        <w:t>- МКУ «УГХ», и МБУДО «ДШИ № 1» с сотрудниками проведена разъяснительная беседа о недопустимости нарушения сроков предоставления учредителю сведений о приобретении объектов муниципальной собственности.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i/>
          <w:color w:val="000000"/>
          <w:sz w:val="28"/>
          <w:szCs w:val="28"/>
        </w:rPr>
        <w:t xml:space="preserve">Оценка эффективности применения в 2023 и 2024 годах налоговых льгот </w:t>
      </w:r>
      <w:r w:rsidRPr="0055410C">
        <w:rPr>
          <w:rFonts w:ascii="Liberation Serif" w:hAnsi="Liberation Serif" w:cs="Liberation Serif"/>
          <w:i/>
          <w:color w:val="000000"/>
          <w:sz w:val="28"/>
          <w:szCs w:val="28"/>
        </w:rPr>
        <w:br/>
        <w:t xml:space="preserve">по земельному налогу в Каменск-Уральском городском округе 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>показала</w:t>
      </w:r>
      <w:r w:rsidRPr="0055410C">
        <w:rPr>
          <w:rFonts w:ascii="Liberation Serif" w:hAnsi="Liberation Serif" w:cs="Liberation Serif"/>
          <w:sz w:val="28"/>
          <w:szCs w:val="28"/>
        </w:rPr>
        <w:t>: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низкую бюджетную эффективность – снижение поступлений (начислений) налога в бюджет при росте объема предоставленных льгот;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достаточную социальную эффективность - рост размера предоставляемой налоговой льготы значительно превысил рост суммы прожиточного минимума.</w:t>
      </w:r>
    </w:p>
    <w:p w:rsidR="0055410C" w:rsidRPr="0055410C" w:rsidRDefault="0055410C" w:rsidP="0055410C">
      <w:pPr>
        <w:pStyle w:val="a8"/>
        <w:spacing w:before="0" w:beforeAutospacing="0" w:after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Установление налоговых льгот по земельному налогу городским округом направлено на снижение налоговой нагрузки физических лиц, повышение </w:t>
      </w:r>
      <w:r w:rsidRPr="0055410C">
        <w:rPr>
          <w:rFonts w:ascii="Liberation Serif" w:hAnsi="Liberation Serif" w:cs="Liberation Serif"/>
          <w:sz w:val="28"/>
          <w:szCs w:val="28"/>
        </w:rPr>
        <w:br/>
        <w:t>их социальной защищенности и уровня жизни населения.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5410C">
        <w:rPr>
          <w:rFonts w:ascii="Liberation Serif" w:hAnsi="Liberation Serif" w:cs="Liberation Serif"/>
          <w:i/>
          <w:sz w:val="28"/>
          <w:szCs w:val="28"/>
        </w:rPr>
        <w:t xml:space="preserve">Оценка эффективности использования бюджетных средств, выделенных </w:t>
      </w:r>
      <w:r w:rsidRPr="0055410C">
        <w:rPr>
          <w:rFonts w:ascii="Liberation Serif" w:hAnsi="Liberation Serif" w:cs="Liberation Serif"/>
          <w:i/>
          <w:sz w:val="28"/>
          <w:szCs w:val="28"/>
        </w:rPr>
        <w:br/>
        <w:t xml:space="preserve">в 2023 и 2024 годах на привлечение педагогических работников </w:t>
      </w:r>
      <w:r w:rsidR="00060C9E">
        <w:rPr>
          <w:rFonts w:ascii="Liberation Serif" w:hAnsi="Liberation Serif" w:cs="Liberation Serif"/>
          <w:i/>
          <w:sz w:val="28"/>
          <w:szCs w:val="28"/>
        </w:rPr>
        <w:br/>
      </w:r>
      <w:r w:rsidRPr="0055410C">
        <w:rPr>
          <w:rFonts w:ascii="Liberation Serif" w:hAnsi="Liberation Serif" w:cs="Liberation Serif"/>
          <w:i/>
          <w:sz w:val="28"/>
          <w:szCs w:val="28"/>
        </w:rPr>
        <w:t>в муниципальные общеобразовательные организации (совместно со Счетной палатой Свердловской области)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В экспертно-аналитическое мероприятие включено 4 объекта.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В заключении информация отражена в целом по всем школам городского округа.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результате проведенного экспертно-аналитического мероприятия установлено: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снижение в целом обеспеченности учителями муниципальных образовательных учреждений, вместе с тем, проводимые мероприятия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по привлечению педагогических работников оказали прямое влияние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на принятие решения кандидатами на трудоустройство в муниципальные общеобразовательные учреждения городского округ;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наличие рисков не достижения к 2030 году установленных Комплексным планом Российской Федерации значений целевых показателей «Увеличение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до 30 % доли учителей математики, физики, химии и биологии в возрасте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до 35 лет» и «Увеличение до 35 % доли выбравших единый государственный экзамен по профильной математике и </w:t>
      </w:r>
      <w:proofErr w:type="spellStart"/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естественно-научным</w:t>
      </w:r>
      <w:proofErr w:type="spellEnd"/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предметам».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адрес главного распорядителя бюджетных средств направлено письмо,</w:t>
      </w:r>
      <w:r w:rsidRPr="0055410C">
        <w:rPr>
          <w:rFonts w:ascii="Liberation Serif" w:hAnsi="Liberation Serif" w:cs="Liberation Serif"/>
          <w:iCs/>
          <w:sz w:val="28"/>
          <w:szCs w:val="28"/>
        </w:rPr>
        <w:br/>
        <w:t>в котором отражено 2 рекомендации по информированию населения о наличии вакантных ставок учителей.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ОМС «Управление образования» и подведомственными учреждениями приняты дополнительные меры для привлечения учителей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в общеобразовательные учреждения – на официальном сайте ОМС «Управление образования» размещена информация о мерах социальной поддержки педагогов и вакансиях в муниципальных образовательных учреждениях. Руководители общеобразовательных учреждений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разместили информацию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о вакансиях </w:t>
      </w:r>
      <w:r w:rsidRPr="0055410C">
        <w:rPr>
          <w:rFonts w:ascii="Liberation Serif" w:hAnsi="Liberation Serif" w:cs="Liberation Serif"/>
          <w:sz w:val="28"/>
          <w:szCs w:val="28"/>
        </w:rPr>
        <w:br/>
        <w:t>на цифровой платформе «Работа в России».</w:t>
      </w:r>
    </w:p>
    <w:p w:rsidR="0055410C" w:rsidRPr="0055410C" w:rsidRDefault="0055410C" w:rsidP="0055410C">
      <w:pPr>
        <w:ind w:right="-113" w:firstLine="675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Информация о результатах экспертно-аналитических мероприятий предоставлялась в Думу и Главе городского округа.</w:t>
      </w: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2.3. Результаты финансово-экономических экспертиз НПА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2025 году проведено 116 финансово-экономических экспертиз проектов муниципальных правовых актов, из них: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- 103 проекта решений Думы и постановлений Администрации городского округа, в том числе: по внесению изменений в решение о бюджете –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5 экспертиз, по внесению изменений в муниципальные программы – 41 экспертиза, по оплате труда – 22 экспертизы, по предоставлению субсидий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из бюджета городского округа – 17 экспертиз, 1 экспертиза по оценке реализуемости, рисков</w:t>
      </w:r>
      <w:r w:rsidR="00060C9E">
        <w:rPr>
          <w:rFonts w:ascii="Liberation Serif" w:hAnsi="Liberation Serif" w:cs="Liberation Serif"/>
          <w:sz w:val="28"/>
          <w:szCs w:val="28"/>
        </w:rPr>
        <w:t xml:space="preserve"> </w:t>
      </w:r>
      <w:r w:rsidRPr="0055410C">
        <w:rPr>
          <w:rFonts w:ascii="Liberation Serif" w:hAnsi="Liberation Serif" w:cs="Liberation Serif"/>
          <w:sz w:val="28"/>
          <w:szCs w:val="28"/>
        </w:rPr>
        <w:t>и результатов достижения целей прогноза социально-экономического развития на краткосрочный и долгосрочный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периоды; прочие нормативно-правовые акты, формирующие расходные обязательства городского округа – 17 экспертиз;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- 4 экспертизы проектов приказов отраслевого органа по жилищному хозяйству об утверждении порядков по предоставлению субсидий;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- 9 экспертиз проектов приказов органов местного самоуправления, </w:t>
      </w:r>
      <w:r w:rsidRPr="0055410C">
        <w:rPr>
          <w:rFonts w:ascii="Liberation Serif" w:hAnsi="Liberation Serif" w:cs="Liberation Serif"/>
          <w:sz w:val="28"/>
          <w:szCs w:val="28"/>
        </w:rPr>
        <w:br/>
        <w:t>из них: 3 – по оплате труда, 6 – прочие нормативно-правовые акты, формирующие расходные обязательства.</w:t>
      </w:r>
    </w:p>
    <w:p w:rsidR="00060C9E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По итогам экспертных мероприятий подготовлено 116 заключений,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из них в 8 отмечено 20 замечаний и рекомендаций. Экспертные заключения направлены разработчикам документа, в Думу и Главе городского округа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для учета мнения Контрольно-счетного органа при принятии решения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при утверждении нормативно-правового акта.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После рассмотрения заключений Контрольно-счетного органа устранено </w:t>
      </w:r>
      <w:r w:rsidRPr="0055410C">
        <w:rPr>
          <w:rFonts w:ascii="Liberation Serif" w:hAnsi="Liberation Serif" w:cs="Liberation Serif"/>
          <w:sz w:val="28"/>
          <w:szCs w:val="28"/>
        </w:rPr>
        <w:br/>
        <w:t>15 замечаний. Не устранено 5 замечаний, которые заключаются в нарушении срока внесения изменений в муниципальные программы, и изменении объема финансового обеспечения муниципальной программы за пределами, утвержденного решен</w:t>
      </w:r>
      <w:r w:rsidR="009B5943">
        <w:rPr>
          <w:rFonts w:ascii="Liberation Serif" w:hAnsi="Liberation Serif" w:cs="Liberation Serif"/>
          <w:sz w:val="28"/>
          <w:szCs w:val="28"/>
        </w:rPr>
        <w:t>ием о бюджете.</w:t>
      </w:r>
    </w:p>
    <w:p w:rsidR="0055410C" w:rsidRPr="0055410C" w:rsidRDefault="0055410C" w:rsidP="0055410C">
      <w:pPr>
        <w:ind w:right="-113"/>
        <w:jc w:val="both"/>
        <w:rPr>
          <w:rFonts w:ascii="Liberation Serif" w:hAnsi="Liberation Serif" w:cs="Liberation Serif"/>
          <w:b/>
          <w:i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 xml:space="preserve">3. Обеспечение деятельности и взаимодействие Контрольно-счетного органа </w:t>
      </w:r>
      <w:r w:rsidRPr="0055410C">
        <w:rPr>
          <w:rFonts w:ascii="Liberation Serif" w:hAnsi="Liberation Serif" w:cs="Liberation Serif"/>
          <w:b/>
          <w:i/>
          <w:sz w:val="28"/>
          <w:szCs w:val="28"/>
        </w:rPr>
        <w:br/>
        <w:t>с органами местного самоуправления, иными органами и организациями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Положение об органе местного самоуправления «Контрольно-счетный орган Каменск-Уральского городского округа» утверждено решением Городской Думы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г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>. Каменска-Уральского от 27.06.2012 № 518 (с изменениями).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Контрольно-счетный орган сформирован в составе председателя, двух инспекторов и одного главного специалиста. По состоянию на 31.12.2025 замещены все должности. Сотрудники имеют высшее профессиональное (экономическое) образование.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Контрольно-счетный орган наделен имуществом, необходимым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для обеспечения исполнения его полномочий, находящимся в муниципальной собственности городского округа на праве оперативного управления.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Style w:val="hgkelc"/>
          <w:rFonts w:ascii="Liberation Serif" w:hAnsi="Liberation Serif" w:cs="Liberation Serif"/>
          <w:bCs/>
          <w:sz w:val="28"/>
          <w:szCs w:val="28"/>
        </w:rPr>
        <w:t>Информационные технологии</w:t>
      </w:r>
      <w:r w:rsidRPr="0055410C">
        <w:rPr>
          <w:rStyle w:val="hgkelc"/>
          <w:rFonts w:ascii="Liberation Serif" w:hAnsi="Liberation Serif" w:cs="Liberation Serif"/>
          <w:sz w:val="28"/>
          <w:szCs w:val="28"/>
        </w:rPr>
        <w:t xml:space="preserve"> в Контрольно-счетном органе охватывают ресурсы необходимые для создания, хранения, управления, передачи и поиска информации.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Финансовое обеспечение деятельности Контрольно-счетного органа осуществляется из средств местного бюджета. Объем расходов на содержание Контрольно-счетного органа в отчетном году решением о бюджете утвержден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сумме 9 014,0 тыс. руб., фактические расходы составили 8 863,6 тыс. рублей.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С целью методологического обеспечения деятельности Контрольно-счетным органом разработаны стандарты внешнего муниципального финансового контроля.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Контрольно-счетный орган является членом Совета органов внешнего финансового контроля Свердловской области при Счетной палате Свердловской области, который оказывает правовую, методическую, информационную помощь в деятельности Контрольно-счетных органов.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Председатель и инспекторы Контрольно-счетного органа регулярно принимают участие в мероприятиях в формате круглых столов, организованных Союзом муниципальных контрольно-счетных органов.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своей деятельности Контрольно-счетный орган взаимодействует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с Прокуратурой города Каменска-Уральского, заключены соглашения </w:t>
      </w:r>
      <w:r w:rsidRPr="0055410C">
        <w:rPr>
          <w:rFonts w:ascii="Liberation Serif" w:hAnsi="Liberation Serif" w:cs="Liberation Serif"/>
          <w:sz w:val="28"/>
          <w:szCs w:val="28"/>
        </w:rPr>
        <w:br/>
        <w:t>о взаимодействии с Межмуниципальным отделом МВД «Каменск-Уральский»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и Общественной палатой города.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В течение отчетного года председатель Контрольно-счетного органа принимала участие: в пленарных заседаниях Думы, в работе комиссии при Главе городского округа по координации работы по противодействию коррупции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городском округе; в балансовых комиссиях по итогам деятельности муниципальных организаций городского округа, выступала с докладами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б итогах деятельности Контрольно-счетного органа за 2024 год.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Контрольно-счетным органом продолжена работа по обеспечению доступа </w:t>
      </w:r>
      <w:r w:rsidRPr="0055410C">
        <w:rPr>
          <w:rFonts w:ascii="Liberation Serif" w:hAnsi="Liberation Serif" w:cs="Liberation Serif"/>
          <w:sz w:val="28"/>
          <w:szCs w:val="28"/>
        </w:rPr>
        <w:br/>
        <w:t>к информации о своей деятельности.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 целях реализации одного из принципов деятельности контрольно-счетных органов – гласности, на сайте Контрольно-счетного органа </w:t>
      </w:r>
      <w:hyperlink r:id="rId9" w:history="1">
        <w:r w:rsidRPr="009B5943">
          <w:rPr>
            <w:rStyle w:val="af2"/>
            <w:rFonts w:ascii="Liberation Serif" w:hAnsi="Liberation Serif" w:cs="Liberation Serif"/>
            <w:color w:val="auto"/>
            <w:sz w:val="28"/>
            <w:szCs w:val="28"/>
          </w:rPr>
          <w:t>www.ksoku.</w:t>
        </w:r>
        <w:r w:rsidRPr="009B5943">
          <w:rPr>
            <w:rStyle w:val="af2"/>
            <w:rFonts w:ascii="Liberation Serif" w:hAnsi="Liberation Serif" w:cs="Liberation Serif"/>
            <w:color w:val="auto"/>
            <w:sz w:val="28"/>
            <w:szCs w:val="28"/>
            <w:lang w:val="en-US"/>
          </w:rPr>
          <w:t>ru</w:t>
        </w:r>
      </w:hyperlink>
      <w:r w:rsidR="00060C9E" w:rsidRPr="009B5943">
        <w:rPr>
          <w:rFonts w:ascii="Liberation Serif" w:hAnsi="Liberation Serif"/>
          <w:sz w:val="28"/>
          <w:szCs w:val="28"/>
        </w:rPr>
        <w:t xml:space="preserve"> </w:t>
      </w:r>
      <w:r w:rsidRPr="009B5943">
        <w:rPr>
          <w:rFonts w:ascii="Liberation Serif" w:hAnsi="Liberation Serif" w:cs="Liberation Serif"/>
          <w:sz w:val="28"/>
          <w:szCs w:val="28"/>
        </w:rPr>
        <w:t>в 2</w:t>
      </w:r>
      <w:r w:rsidRPr="0055410C">
        <w:rPr>
          <w:rFonts w:ascii="Liberation Serif" w:hAnsi="Liberation Serif" w:cs="Liberation Serif"/>
          <w:sz w:val="28"/>
          <w:szCs w:val="28"/>
        </w:rPr>
        <w:t xml:space="preserve">025 году размещено 28 информационных материалов –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о деятельности Контрольно-счетного органа и основных результатах экспертно-аналитических и контрольных мероприятий, а так же мерах, принятых объектами контроля по устранению установленных нарушений. Отчет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о деятельности Контрольно-счетного органа за 2024 год опубликован в газете «Каменский рабочий».</w:t>
      </w:r>
    </w:p>
    <w:p w:rsidR="0055410C" w:rsidRPr="0055410C" w:rsidRDefault="0055410C" w:rsidP="0055410C">
      <w:pPr>
        <w:ind w:right="-113"/>
        <w:jc w:val="both"/>
        <w:rPr>
          <w:rFonts w:ascii="Liberation Serif" w:hAnsi="Liberation Serif" w:cs="Liberation Serif"/>
          <w:b/>
          <w:i/>
          <w:color w:val="7030A0"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 xml:space="preserve">4. Приоритеты деятельности Контрольно-счетного органа </w:t>
      </w:r>
      <w:r w:rsidRPr="0055410C">
        <w:rPr>
          <w:rFonts w:ascii="Liberation Serif" w:hAnsi="Liberation Serif" w:cs="Liberation Serif"/>
          <w:b/>
          <w:i/>
          <w:sz w:val="28"/>
          <w:szCs w:val="28"/>
        </w:rPr>
        <w:br/>
        <w:t>на очередной</w:t>
      </w:r>
      <w:r w:rsidR="00060C9E">
        <w:rPr>
          <w:rFonts w:ascii="Liberation Serif" w:hAnsi="Liberation Serif" w:cs="Liberation Serif"/>
          <w:b/>
          <w:i/>
          <w:sz w:val="28"/>
          <w:szCs w:val="28"/>
        </w:rPr>
        <w:t xml:space="preserve"> </w:t>
      </w:r>
      <w:r w:rsidRPr="0055410C">
        <w:rPr>
          <w:rFonts w:ascii="Liberation Serif" w:hAnsi="Liberation Serif" w:cs="Liberation Serif"/>
          <w:b/>
          <w:i/>
          <w:sz w:val="28"/>
          <w:szCs w:val="28"/>
        </w:rPr>
        <w:t xml:space="preserve">год 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План работы Контрольно-счетного органа на 2026 год сформирован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на основании поручений и обращений представительного органа (Думы)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и Главы городского округа.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В план работы включено: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3 контрольных мероприятия: проверка использования субсидий, предоставленных из местного бюджета муниципальному бюджетному учреждению дополнительного образования «Детская школа искусств № 1», </w:t>
      </w:r>
      <w:r w:rsidRPr="0055410C">
        <w:rPr>
          <w:rFonts w:ascii="Liberation Serif" w:hAnsi="Liberation Serif" w:cs="Liberation Serif"/>
          <w:sz w:val="28"/>
          <w:szCs w:val="28"/>
        </w:rPr>
        <w:br/>
        <w:t>их отражения в бухгалтерском учете и бухгалтерской финансовой отчетности, порядка учета и распоряжения имуществом» в 2025 году (при необходимости – иные периоды); аудит в сфере закупок товаров, работ и услуг, осуществляемых Администрацией Каменск-Уральского городского округа в 2025 году;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проверка соблюдения порядка учета и распоряжения имуществом Каменск-Уральского городского округа, переданного в оперативное управление муниципальному казенному учреждению «Расчетный центр города Каменска-Уральского» </w:t>
      </w:r>
      <w:r w:rsidRPr="0055410C">
        <w:rPr>
          <w:rFonts w:ascii="Liberation Serif" w:hAnsi="Liberation Serif" w:cs="Liberation Serif"/>
          <w:sz w:val="28"/>
          <w:szCs w:val="28"/>
        </w:rPr>
        <w:br/>
        <w:t>за 2025 год (при необходимости иные периоды);</w:t>
      </w:r>
    </w:p>
    <w:p w:rsidR="0055410C" w:rsidRPr="0055410C" w:rsidRDefault="0055410C" w:rsidP="0055410C">
      <w:pPr>
        <w:autoSpaceDE w:val="0"/>
        <w:autoSpaceDN w:val="0"/>
        <w:ind w:right="-113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4 экспертно-аналитических мероприятия: оценка эффективности планирования и осуществления бюджетных инвестиций в объекты муниципальной собственности в сфере физической культуры и спорта в период 2023-2025 годы (при необходимости иные периоды); оценка эффективности применения в 2025 году налоговых льгот по земельному налогу в Каменск-Уральском городском округе (при необходимости иные периоды);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оценка эффективности реализации в 2024-2025 годах и истекшем периоде 2026 года (при необходимости в более ранний период) органом местного самоуправления «Управление культуры Каменск-Уральского городского округа» своих полномочий при организации библиотечного обслуживания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>; а</w:t>
      </w:r>
      <w:r w:rsidRPr="0055410C">
        <w:rPr>
          <w:rFonts w:ascii="Liberation Serif" w:hAnsi="Liberation Serif" w:cs="Liberation Serif"/>
          <w:sz w:val="28"/>
          <w:szCs w:val="28"/>
        </w:rPr>
        <w:t xml:space="preserve">нализ эффективности деятельности Департамента молодежной политики </w:t>
      </w:r>
      <w:r w:rsidRPr="0055410C">
        <w:rPr>
          <w:rFonts w:ascii="Liberation Serif" w:hAnsi="Liberation Serif" w:cs="Liberation Serif"/>
          <w:sz w:val="28"/>
          <w:szCs w:val="28"/>
        </w:rPr>
        <w:lastRenderedPageBreak/>
        <w:t xml:space="preserve">Свердловской области» в 2025 году и истекшем периоде 2026 года (совместно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>со Счетной палатой Свердловской области)</w:t>
      </w:r>
      <w:r w:rsidRPr="0055410C">
        <w:rPr>
          <w:rFonts w:ascii="Liberation Serif" w:hAnsi="Liberation Serif" w:cs="Liberation Serif"/>
          <w:color w:val="000000"/>
          <w:sz w:val="28"/>
          <w:szCs w:val="28"/>
        </w:rPr>
        <w:t>.</w:t>
      </w:r>
      <w:proofErr w:type="gramEnd"/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 xml:space="preserve">По прежнему будет осуществляться последующий контроль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за исполнением объектами контроля требований представлений и рекомендаций </w:t>
      </w:r>
      <w:bookmarkStart w:id="0" w:name="_GoBack"/>
      <w:bookmarkEnd w:id="0"/>
      <w:r w:rsidRPr="0055410C">
        <w:rPr>
          <w:rFonts w:ascii="Liberation Serif" w:hAnsi="Liberation Serif" w:cs="Liberation Serif"/>
          <w:sz w:val="28"/>
          <w:szCs w:val="28"/>
        </w:rPr>
        <w:t>в части принятия мер по устранению нарушений и недостатков.</w:t>
      </w:r>
      <w:proofErr w:type="gramEnd"/>
    </w:p>
    <w:p w:rsidR="0055410C" w:rsidRPr="0055410C" w:rsidRDefault="0055410C" w:rsidP="0055410C">
      <w:pPr>
        <w:ind w:right="-113"/>
        <w:jc w:val="both"/>
        <w:rPr>
          <w:rFonts w:ascii="Liberation Serif" w:hAnsi="Liberation Serif" w:cs="Liberation Serif"/>
          <w:b/>
          <w:i/>
          <w:sz w:val="28"/>
          <w:szCs w:val="28"/>
        </w:rPr>
      </w:pPr>
    </w:p>
    <w:p w:rsidR="0055410C" w:rsidRPr="0055410C" w:rsidRDefault="0055410C" w:rsidP="0055410C">
      <w:pPr>
        <w:ind w:right="-113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55410C">
        <w:rPr>
          <w:rFonts w:ascii="Liberation Serif" w:hAnsi="Liberation Serif" w:cs="Liberation Serif"/>
          <w:b/>
          <w:i/>
          <w:sz w:val="28"/>
          <w:szCs w:val="28"/>
        </w:rPr>
        <w:t>Заключение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Подводя итоги деятельности Контрольно-счетного органа за 2025 год отмечаем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, что годовой план работы, включающий в себя выполнение всех полномочий, определенных Федеральным законом № 6-ФЗ, исполнен в полном объеме.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По результатам экспертно-аналитических и контрольных мероприятий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своих заключениях Контрольно-счетным органом были обозначены недостатки в бюджетной сфере, включая несвоевременное внесение изменений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в документы стратегического планирования, нарушения при планировании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и осуществлении закупок товаров, работ и услуг, бухгалтерского учета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и бюджетной отчетности, не соблюдения требований нормативно-правовых актов при осуществлении объектами контроля своей деятельности, требующие принятия действенных мер, и даны рекомендации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по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их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устранению.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С целью информационной открытости и прозрачности деятельности Контрольно-счетного органа отчеты по контрольной и экспертно-аналитической деятельности направлялись Главе и в Думу городского округа.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Объектами контроля письменно подтверждено принятие мер </w:t>
      </w:r>
      <w:r w:rsidR="00060C9E">
        <w:rPr>
          <w:rFonts w:ascii="Liberation Serif" w:hAnsi="Liberation Serif" w:cs="Liberation Serif"/>
          <w:sz w:val="28"/>
          <w:szCs w:val="28"/>
        </w:rPr>
        <w:br/>
      </w:r>
      <w:r w:rsidRPr="0055410C">
        <w:rPr>
          <w:rFonts w:ascii="Liberation Serif" w:hAnsi="Liberation Serif" w:cs="Liberation Serif"/>
          <w:sz w:val="28"/>
          <w:szCs w:val="28"/>
        </w:rPr>
        <w:t xml:space="preserve">по устранению финансовых нарушения и недопущению их в дальнейшем. </w:t>
      </w: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Важным направлением деятельности Контрольно-счетного органа </w:t>
      </w:r>
      <w:r w:rsidRPr="0055410C">
        <w:rPr>
          <w:rFonts w:ascii="Liberation Serif" w:hAnsi="Liberation Serif" w:cs="Liberation Serif"/>
          <w:sz w:val="28"/>
          <w:szCs w:val="28"/>
        </w:rPr>
        <w:br/>
        <w:t xml:space="preserve">в 2026 году остается анализ и мониторинг бюджетного процесса, осуществление </w:t>
      </w:r>
      <w:proofErr w:type="gramStart"/>
      <w:r w:rsidRPr="0055410C">
        <w:rPr>
          <w:rFonts w:ascii="Liberation Serif" w:hAnsi="Liberation Serif" w:cs="Liberation Serif"/>
          <w:sz w:val="28"/>
          <w:szCs w:val="28"/>
        </w:rPr>
        <w:t>контроля за</w:t>
      </w:r>
      <w:proofErr w:type="gramEnd"/>
      <w:r w:rsidRPr="0055410C">
        <w:rPr>
          <w:rFonts w:ascii="Liberation Serif" w:hAnsi="Liberation Serif" w:cs="Liberation Serif"/>
          <w:sz w:val="28"/>
          <w:szCs w:val="28"/>
        </w:rPr>
        <w:t xml:space="preserve"> формированием и исполнением бюджета, соблюдение порядка учета </w:t>
      </w:r>
      <w:r w:rsidRPr="0055410C">
        <w:rPr>
          <w:rFonts w:ascii="Liberation Serif" w:hAnsi="Liberation Serif" w:cs="Liberation Serif"/>
          <w:sz w:val="28"/>
          <w:szCs w:val="28"/>
        </w:rPr>
        <w:br/>
        <w:t>и распоряжения имуществом, эффективным использованием бюджетных средств,</w:t>
      </w:r>
      <w:r w:rsidR="00060C9E">
        <w:rPr>
          <w:rFonts w:ascii="Liberation Serif" w:hAnsi="Liberation Serif" w:cs="Liberation Serif"/>
          <w:sz w:val="28"/>
          <w:szCs w:val="28"/>
        </w:rPr>
        <w:t xml:space="preserve"> </w:t>
      </w:r>
      <w:r w:rsidRPr="0055410C">
        <w:rPr>
          <w:rFonts w:ascii="Liberation Serif" w:hAnsi="Liberation Serif" w:cs="Liberation Serif"/>
          <w:sz w:val="28"/>
          <w:szCs w:val="28"/>
        </w:rPr>
        <w:t>с целью оценки эффективности использования ресурсов.</w:t>
      </w:r>
    </w:p>
    <w:p w:rsid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60C9E" w:rsidRPr="0055410C" w:rsidRDefault="00060C9E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Председатель</w:t>
      </w:r>
    </w:p>
    <w:p w:rsidR="0055410C" w:rsidRPr="0055410C" w:rsidRDefault="0055410C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>Контрольно-счетного органа</w:t>
      </w:r>
    </w:p>
    <w:p w:rsidR="0055410C" w:rsidRDefault="0055410C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  <w:r w:rsidRPr="0055410C">
        <w:rPr>
          <w:rFonts w:ascii="Liberation Serif" w:hAnsi="Liberation Serif" w:cs="Liberation Serif"/>
          <w:sz w:val="28"/>
          <w:szCs w:val="28"/>
        </w:rPr>
        <w:t xml:space="preserve">Каменск-Уральского городского округа                                           Н.А. </w:t>
      </w:r>
      <w:proofErr w:type="spellStart"/>
      <w:r w:rsidRPr="0055410C">
        <w:rPr>
          <w:rFonts w:ascii="Liberation Serif" w:hAnsi="Liberation Serif" w:cs="Liberation Serif"/>
          <w:sz w:val="28"/>
          <w:szCs w:val="28"/>
        </w:rPr>
        <w:t>Конычева</w:t>
      </w:r>
      <w:proofErr w:type="spellEnd"/>
    </w:p>
    <w:p w:rsidR="00060C9E" w:rsidRDefault="00060C9E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</w:p>
    <w:p w:rsidR="00060C9E" w:rsidRDefault="00060C9E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</w:p>
    <w:p w:rsidR="00060C9E" w:rsidRDefault="00060C9E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</w:p>
    <w:p w:rsidR="00060C9E" w:rsidRDefault="00060C9E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</w:p>
    <w:p w:rsidR="00060C9E" w:rsidRPr="0055410C" w:rsidRDefault="00060C9E" w:rsidP="0055410C">
      <w:pPr>
        <w:pStyle w:val="a9"/>
        <w:ind w:right="-113"/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ind w:right="-113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55410C" w:rsidRPr="0055410C" w:rsidRDefault="0055410C" w:rsidP="0055410C">
      <w:pPr>
        <w:ind w:right="-113"/>
        <w:jc w:val="both"/>
        <w:rPr>
          <w:rFonts w:ascii="Liberation Serif" w:hAnsi="Liberation Serif" w:cs="Liberation Serif"/>
          <w:sz w:val="28"/>
          <w:szCs w:val="28"/>
        </w:rPr>
      </w:pPr>
    </w:p>
    <w:p w:rsidR="009B5943" w:rsidRDefault="009B5943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9B5943" w:rsidRDefault="009B5943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9B5943" w:rsidRDefault="009B5943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9B5943" w:rsidRDefault="009B5943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060C9E" w:rsidRPr="005E3B99" w:rsidRDefault="00060C9E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  <w:r w:rsidRPr="005E3B99">
        <w:rPr>
          <w:rFonts w:ascii="Liberation Serif" w:hAnsi="Liberation Serif" w:cs="Liberation Serif"/>
          <w:b/>
          <w:sz w:val="28"/>
          <w:szCs w:val="28"/>
        </w:rPr>
        <w:lastRenderedPageBreak/>
        <w:t xml:space="preserve">Приложение </w:t>
      </w:r>
    </w:p>
    <w:p w:rsidR="00060C9E" w:rsidRPr="005E3B99" w:rsidRDefault="00060C9E" w:rsidP="00060C9E">
      <w:pPr>
        <w:jc w:val="right"/>
        <w:rPr>
          <w:rFonts w:ascii="Liberation Serif" w:hAnsi="Liberation Serif" w:cs="Liberation Serif"/>
          <w:b/>
          <w:sz w:val="28"/>
          <w:szCs w:val="28"/>
        </w:rPr>
      </w:pPr>
      <w:r w:rsidRPr="005E3B99">
        <w:rPr>
          <w:rFonts w:ascii="Liberation Serif" w:hAnsi="Liberation Serif" w:cs="Liberation Serif"/>
          <w:b/>
          <w:sz w:val="28"/>
          <w:szCs w:val="28"/>
        </w:rPr>
        <w:t>к годовому отчету</w:t>
      </w:r>
    </w:p>
    <w:p w:rsidR="00060C9E" w:rsidRPr="005E3B99" w:rsidRDefault="00060C9E" w:rsidP="00060C9E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060C9E" w:rsidRPr="005E3B99" w:rsidRDefault="00060C9E" w:rsidP="00060C9E">
      <w:pPr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5E3B99">
        <w:rPr>
          <w:rFonts w:ascii="Liberation Serif" w:eastAsia="Calibri" w:hAnsi="Liberation Serif" w:cs="Liberation Serif"/>
          <w:sz w:val="28"/>
          <w:szCs w:val="28"/>
        </w:rPr>
        <w:t>Основные показатели деятельности</w:t>
      </w:r>
    </w:p>
    <w:p w:rsidR="00060C9E" w:rsidRPr="005E3B99" w:rsidRDefault="00060C9E" w:rsidP="00060C9E">
      <w:pPr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5E3B99">
        <w:rPr>
          <w:rFonts w:ascii="Liberation Serif" w:eastAsia="Calibri" w:hAnsi="Liberation Serif" w:cs="Liberation Serif"/>
          <w:sz w:val="28"/>
          <w:szCs w:val="28"/>
        </w:rPr>
        <w:t>Контрольно-счетного органа Каменск-Уральского городского округа</w:t>
      </w:r>
    </w:p>
    <w:p w:rsidR="00060C9E" w:rsidRPr="005E3B99" w:rsidRDefault="00060C9E" w:rsidP="00060C9E">
      <w:pPr>
        <w:jc w:val="center"/>
        <w:rPr>
          <w:rFonts w:ascii="Liberation Serif" w:eastAsia="Calibri" w:hAnsi="Liberation Serif" w:cs="Liberation Serif"/>
          <w:sz w:val="28"/>
          <w:szCs w:val="28"/>
        </w:rPr>
      </w:pPr>
      <w:r w:rsidRPr="005E3B99">
        <w:rPr>
          <w:rFonts w:ascii="Liberation Serif" w:eastAsia="Calibri" w:hAnsi="Liberation Serif" w:cs="Liberation Serif"/>
          <w:sz w:val="28"/>
          <w:szCs w:val="28"/>
        </w:rPr>
        <w:t>за 202</w:t>
      </w:r>
      <w:r>
        <w:rPr>
          <w:rFonts w:ascii="Liberation Serif" w:eastAsia="Calibri" w:hAnsi="Liberation Serif" w:cs="Liberation Serif"/>
          <w:sz w:val="28"/>
          <w:szCs w:val="28"/>
        </w:rPr>
        <w:t>5</w:t>
      </w:r>
      <w:r w:rsidRPr="005E3B99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</w:p>
    <w:p w:rsidR="00060C9E" w:rsidRPr="005E3B99" w:rsidRDefault="00060C9E" w:rsidP="00060C9E">
      <w:pPr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tbl>
      <w:tblPr>
        <w:tblW w:w="10247" w:type="dxa"/>
        <w:jc w:val="center"/>
        <w:tblInd w:w="3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1156"/>
        <w:gridCol w:w="7673"/>
        <w:gridCol w:w="1418"/>
      </w:tblGrid>
      <w:tr w:rsidR="00060C9E" w:rsidRPr="00396A47" w:rsidTr="00060C9E">
        <w:trPr>
          <w:trHeight w:val="597"/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060C9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  <w:p w:rsidR="00060C9E" w:rsidRPr="00396A47" w:rsidRDefault="00060C9E" w:rsidP="00060C9E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/</w:t>
            </w:r>
            <w:proofErr w:type="spell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060C9E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060C9E">
            <w:pPr>
              <w:ind w:left="-57" w:right="-57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Значение показателя</w:t>
            </w:r>
          </w:p>
        </w:tc>
      </w:tr>
      <w:tr w:rsidR="00060C9E" w:rsidRPr="00396A47" w:rsidTr="00060C9E">
        <w:trPr>
          <w:trHeight w:val="597"/>
          <w:jc w:val="center"/>
        </w:trPr>
        <w:tc>
          <w:tcPr>
            <w:tcW w:w="10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060C9E">
            <w:pPr>
              <w:ind w:left="-57" w:right="-57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b/>
                <w:sz w:val="28"/>
                <w:szCs w:val="28"/>
              </w:rPr>
              <w:t>Организация и проведение контрольных и экспертно-аналитических мероприятий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Проведено контрольных и экспертно-аналитических мероприятий (за исключением экспертиз проектов муниципальных правовых актов) всего,</w:t>
            </w:r>
          </w:p>
          <w:p w:rsidR="00060C9E" w:rsidRPr="00396A47" w:rsidRDefault="00060C9E" w:rsidP="00C772FD">
            <w:pPr>
              <w:ind w:firstLine="3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31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контрольных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экспертно-аналитических мероприятий </w:t>
            </w:r>
          </w:p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(за исключением экспертиз проектов муниципальных правовых актов)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проведенных экспертиз проектов муниципальных правовых актов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116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объектов проведенных контрольных и экспертно-аналитических мероприяти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й(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за исключением экспертиз проектов муниципальных правовых актов) всего,</w:t>
            </w:r>
          </w:p>
          <w:p w:rsidR="00060C9E" w:rsidRPr="00396A47" w:rsidRDefault="00060C9E" w:rsidP="00C772FD">
            <w:pPr>
              <w:ind w:firstLine="284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объектов контрольных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объектов экспертно-аналитических мероприяти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й(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за исключением экспертиз проектов муниципальных правовых актов)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28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Объем проверенных сре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дств пр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и контрольных мероприятиях (тыс.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50 973,5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Проведено совместных и параллельных контрольных и экспертно-аналитических мероприятий всего,</w:t>
            </w:r>
          </w:p>
          <w:p w:rsidR="00060C9E" w:rsidRPr="00396A47" w:rsidRDefault="00060C9E" w:rsidP="00C772FD">
            <w:pPr>
              <w:ind w:firstLine="31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5.1.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со Счетной палатой Российской Федерации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5.2.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с контрольно-счетными органами субъектов Российской Федерации (федеральных территорий)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5.3.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с контрольно-счетными органами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trHeight w:val="467"/>
          <w:jc w:val="center"/>
        </w:trPr>
        <w:tc>
          <w:tcPr>
            <w:tcW w:w="10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Всего выявлено нарушений в ходе осуществления внешнего муниципального финансового контроля (количество/тыс. рублей),</w:t>
            </w:r>
          </w:p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16 / 256,4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lastRenderedPageBreak/>
              <w:t>6.1.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3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нецелевое использование бюджетных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0/0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нарушения при формировании и исполнении бюджетов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4 / </w:t>
            </w:r>
            <w:r w:rsidR="006C4DA8">
              <w:rPr>
                <w:rFonts w:ascii="Liberation Serif" w:hAnsi="Liberation Serif" w:cs="Liberation Serif"/>
                <w:sz w:val="28"/>
                <w:szCs w:val="28"/>
              </w:rPr>
              <w:t>1,15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нарушения ведения бухгалтерского учета, составления и представления бухгалтерской (финансовой) отчетности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6C4DA8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 / 194</w:t>
            </w:r>
            <w:r w:rsidR="00060C9E" w:rsidRPr="00396A47">
              <w:rPr>
                <w:rFonts w:ascii="Liberation Serif" w:hAnsi="Liberation Serif" w:cs="Liberation Serif"/>
                <w:sz w:val="28"/>
                <w:szCs w:val="28"/>
              </w:rPr>
              <w:t>,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нарушения в сфере управления и распоряжения муниципальной собственностью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 / 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нарушения при осуществлении муниципальных закупок и закупок отдельными видами юридических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6 / 60,1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6.6.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нарушения в сфере деятельности организаций с участием муниципального образования в их уставных (складочных) капиталах и иных организаций, в том числе  при использовании ими имущества, находящегося в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 / 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6.7.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иные нарушения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 / 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Выявлено неэффективное использование бюджетных</w:t>
            </w: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 </w:t>
            </w: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средств </w:t>
            </w: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(количество/тыс. рублей)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 / 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Устранено выявленных нарушений (количество/тыс. рублей)</w:t>
            </w:r>
            <w:r w:rsidRPr="00396A4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,</w:t>
            </w:r>
          </w:p>
          <w:p w:rsidR="00060C9E" w:rsidRPr="00396A47" w:rsidRDefault="00060C9E" w:rsidP="00C772FD">
            <w:pPr>
              <w:ind w:firstLine="24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16 / 1,5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8.1.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hanging="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обеспечен возврат сре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дств в б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юджеты всех уровней бюджетной системы Российской Федерации (количество/тыс. рублей).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 / 1,5</w:t>
            </w:r>
          </w:p>
        </w:tc>
      </w:tr>
      <w:tr w:rsidR="00060C9E" w:rsidRPr="00396A47" w:rsidTr="00C772FD">
        <w:trPr>
          <w:jc w:val="center"/>
        </w:trPr>
        <w:tc>
          <w:tcPr>
            <w:tcW w:w="10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Внесено представлений всего,</w:t>
            </w:r>
          </w:p>
          <w:p w:rsidR="00060C9E" w:rsidRPr="00396A47" w:rsidRDefault="00060C9E" w:rsidP="00C772FD">
            <w:pPr>
              <w:ind w:firstLine="23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9.1.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представлений, выполненных в установленные 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9.2.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представлений, 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сроки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 выполнения которых не наступили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9.3.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представлений, не выполненных и выполненных не полностью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Направлено предписаний всего,</w:t>
            </w:r>
          </w:p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10.1.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предписаний, выполненных в установленные 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10.2.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предписаний, 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сроки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 выполнения которых не наступили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10.3.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предписаний, не выполненных и выполненных не полностью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предписаний, направленных вследствие не выполнения представлений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направленных уведомлений о применении бюджетных мер принуждения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spacing w:line="216" w:lineRule="auto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Взыскано сумм в бесспорном порядке, приостановлено (сокращено) предоставление межбюджетных трансфертов по результатам рассмотрения уведомлений о применении </w:t>
            </w: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бюджетных мер принуждения) (тыс. рублей)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Направлено информационных писем в органы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местного самоуправления и объектам контроля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15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правовых и иных актов, принятых по результатам рассмотрения представлений, предписаний и информационных писем контрольно-счетного органа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16.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направленных МКСО предложений (рекомендаций) по результатам контрольных и экспертно-аналитических </w:t>
            </w:r>
            <w:proofErr w:type="gramStart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мероприятий</w:t>
            </w:r>
            <w:proofErr w:type="gramEnd"/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 xml:space="preserve"> / в том числе выполненных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21 / 21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17.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материалов, направленных в органы прокуратуры и иные правоохранительные органы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spacing w:line="216" w:lineRule="auto"/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Результаты рассмотрения органами прокуратуры и иными правоохранительными органами материалов, направленных контрольно-счетным органом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принято решений о возбуждении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принято решений об отказе в  возбуждении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принято решений о прекращении уголовного дела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18.4.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возбуждено дел об административных правонарушениях, по которым назначено административное наказание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18.5.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firstLine="284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иные меры прокурорского реагирования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19.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Возбуждено дел об административных правонарушениях сотрудниками контрольно-счетного органа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20.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Количество дел об административных</w:t>
            </w:r>
            <w:r w:rsidR="005F5EA6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правонарушениях, возбужденных сотрудниками контрольно-счетного органа, по которым судьей, органом, должностным лицом, уполномоченными рассматривать дела об административных правонарушениях, вынесены постановления по делу об административном правонарушении с назначением административного наказания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 w:firstLine="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21.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Возбуждено дел об административных правонарушениях по обращениям контрольно-счетного органа, направленным в уполномоченные органы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22.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Привлечено должностных и юридических лиц к административной ответственности по делам об административных правонарушениях, всего</w:t>
            </w:r>
          </w:p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в том числе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22.1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396A47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22.2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юридических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  <w:tr w:rsidR="00060C9E" w:rsidRPr="005E3B99" w:rsidTr="00C772FD">
        <w:trPr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23.</w:t>
            </w:r>
          </w:p>
        </w:tc>
        <w:tc>
          <w:tcPr>
            <w:tcW w:w="7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396A47" w:rsidRDefault="00060C9E" w:rsidP="00C772FD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Привлечено лиц к дисциплинарной ответственности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0C9E" w:rsidRPr="005E3B99" w:rsidRDefault="00060C9E" w:rsidP="00C772FD">
            <w:pPr>
              <w:ind w:left="-57" w:right="-57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396A47"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</w:tr>
    </w:tbl>
    <w:p w:rsidR="00EA7708" w:rsidRPr="0055410C" w:rsidRDefault="00EA7708" w:rsidP="0055410C">
      <w:pPr>
        <w:tabs>
          <w:tab w:val="left" w:pos="1215"/>
        </w:tabs>
        <w:rPr>
          <w:rFonts w:ascii="Liberation Serif" w:hAnsi="Liberation Serif" w:cs="Liberation Serif"/>
          <w:sz w:val="28"/>
          <w:szCs w:val="28"/>
        </w:rPr>
      </w:pPr>
    </w:p>
    <w:sectPr w:rsidR="00EA7708" w:rsidRPr="0055410C" w:rsidSect="0055410C">
      <w:headerReference w:type="default" r:id="rId10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10C" w:rsidRDefault="0055410C" w:rsidP="00610BCA">
      <w:r>
        <w:separator/>
      </w:r>
    </w:p>
  </w:endnote>
  <w:endnote w:type="continuationSeparator" w:id="1">
    <w:p w:rsidR="0055410C" w:rsidRDefault="0055410C" w:rsidP="00610B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10C" w:rsidRDefault="0055410C" w:rsidP="00610BCA">
      <w:r>
        <w:separator/>
      </w:r>
    </w:p>
  </w:footnote>
  <w:footnote w:type="continuationSeparator" w:id="1">
    <w:p w:rsidR="0055410C" w:rsidRDefault="0055410C" w:rsidP="00610B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42771"/>
    </w:sdtPr>
    <w:sdtContent>
      <w:p w:rsidR="0055410C" w:rsidRDefault="00286906">
        <w:pPr>
          <w:pStyle w:val="ae"/>
          <w:jc w:val="center"/>
        </w:pPr>
        <w:fldSimple w:instr=" PAGE   \* MERGEFORMAT ">
          <w:r w:rsidR="00524BBF">
            <w:rPr>
              <w:noProof/>
            </w:rPr>
            <w:t>2</w:t>
          </w:r>
        </w:fldSimple>
      </w:p>
    </w:sdtContent>
  </w:sdt>
  <w:p w:rsidR="0055410C" w:rsidRDefault="0055410C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B7692"/>
    <w:multiLevelType w:val="hybridMultilevel"/>
    <w:tmpl w:val="65B8C2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A11D1"/>
    <w:multiLevelType w:val="hybridMultilevel"/>
    <w:tmpl w:val="80BC195A"/>
    <w:lvl w:ilvl="0" w:tplc="279CF8FC">
      <w:start w:val="1"/>
      <w:numFmt w:val="bullet"/>
      <w:lvlText w:val=""/>
      <w:lvlJc w:val="left"/>
      <w:pPr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1" w:hanging="360"/>
      </w:pPr>
      <w:rPr>
        <w:rFonts w:ascii="Wingdings" w:hAnsi="Wingdings" w:hint="default"/>
      </w:rPr>
    </w:lvl>
  </w:abstractNum>
  <w:abstractNum w:abstractNumId="2">
    <w:nsid w:val="34AF566E"/>
    <w:multiLevelType w:val="hybridMultilevel"/>
    <w:tmpl w:val="6144CA68"/>
    <w:lvl w:ilvl="0" w:tplc="142654DE">
      <w:start w:val="7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67F903D7"/>
    <w:multiLevelType w:val="hybridMultilevel"/>
    <w:tmpl w:val="927889D0"/>
    <w:lvl w:ilvl="0" w:tplc="D96CBC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511DD"/>
    <w:rsid w:val="00060C9E"/>
    <w:rsid w:val="000A7D03"/>
    <w:rsid w:val="000E61A4"/>
    <w:rsid w:val="000F5DBF"/>
    <w:rsid w:val="00133698"/>
    <w:rsid w:val="001620AE"/>
    <w:rsid w:val="00170B26"/>
    <w:rsid w:val="001C5D11"/>
    <w:rsid w:val="001C7013"/>
    <w:rsid w:val="001D0FDA"/>
    <w:rsid w:val="001E68AF"/>
    <w:rsid w:val="00205C76"/>
    <w:rsid w:val="00210D9D"/>
    <w:rsid w:val="002114EB"/>
    <w:rsid w:val="00214804"/>
    <w:rsid w:val="0022005A"/>
    <w:rsid w:val="0023226A"/>
    <w:rsid w:val="002537FF"/>
    <w:rsid w:val="00255FE3"/>
    <w:rsid w:val="002600E6"/>
    <w:rsid w:val="002825AA"/>
    <w:rsid w:val="00286906"/>
    <w:rsid w:val="0028797A"/>
    <w:rsid w:val="002A3CB3"/>
    <w:rsid w:val="002E6C0A"/>
    <w:rsid w:val="002F07E6"/>
    <w:rsid w:val="00301773"/>
    <w:rsid w:val="0030779F"/>
    <w:rsid w:val="00311136"/>
    <w:rsid w:val="00324A12"/>
    <w:rsid w:val="00337C1C"/>
    <w:rsid w:val="00352B7E"/>
    <w:rsid w:val="00374C89"/>
    <w:rsid w:val="003933D0"/>
    <w:rsid w:val="003A332B"/>
    <w:rsid w:val="003F6459"/>
    <w:rsid w:val="00421C26"/>
    <w:rsid w:val="00424864"/>
    <w:rsid w:val="00456FC8"/>
    <w:rsid w:val="00487AE7"/>
    <w:rsid w:val="00496ADF"/>
    <w:rsid w:val="004B0D4D"/>
    <w:rsid w:val="004B14AA"/>
    <w:rsid w:val="004C3D72"/>
    <w:rsid w:val="004E51BC"/>
    <w:rsid w:val="004F4246"/>
    <w:rsid w:val="00524BBF"/>
    <w:rsid w:val="00536788"/>
    <w:rsid w:val="0055410C"/>
    <w:rsid w:val="00586BB5"/>
    <w:rsid w:val="005E4B23"/>
    <w:rsid w:val="005F5EA6"/>
    <w:rsid w:val="005F758B"/>
    <w:rsid w:val="00604FBD"/>
    <w:rsid w:val="006104A9"/>
    <w:rsid w:val="00610BCA"/>
    <w:rsid w:val="0063768D"/>
    <w:rsid w:val="006533F2"/>
    <w:rsid w:val="00685FE3"/>
    <w:rsid w:val="006B62D9"/>
    <w:rsid w:val="006C4DA8"/>
    <w:rsid w:val="006C6C5E"/>
    <w:rsid w:val="006E0A7B"/>
    <w:rsid w:val="006E59ED"/>
    <w:rsid w:val="007009AF"/>
    <w:rsid w:val="00702165"/>
    <w:rsid w:val="0070240E"/>
    <w:rsid w:val="00720985"/>
    <w:rsid w:val="00742F79"/>
    <w:rsid w:val="007461B3"/>
    <w:rsid w:val="00764EE2"/>
    <w:rsid w:val="007A4333"/>
    <w:rsid w:val="00806B13"/>
    <w:rsid w:val="00863F8C"/>
    <w:rsid w:val="00870BF3"/>
    <w:rsid w:val="00871148"/>
    <w:rsid w:val="00882284"/>
    <w:rsid w:val="0088452B"/>
    <w:rsid w:val="00893085"/>
    <w:rsid w:val="00896CBC"/>
    <w:rsid w:val="008C0E41"/>
    <w:rsid w:val="008C6520"/>
    <w:rsid w:val="008E6F73"/>
    <w:rsid w:val="008F589F"/>
    <w:rsid w:val="00900351"/>
    <w:rsid w:val="00900A6B"/>
    <w:rsid w:val="00901A08"/>
    <w:rsid w:val="009334FF"/>
    <w:rsid w:val="00947023"/>
    <w:rsid w:val="00950B93"/>
    <w:rsid w:val="00952C64"/>
    <w:rsid w:val="00956960"/>
    <w:rsid w:val="00975A1C"/>
    <w:rsid w:val="009812A1"/>
    <w:rsid w:val="00990F6B"/>
    <w:rsid w:val="009956AB"/>
    <w:rsid w:val="009B5943"/>
    <w:rsid w:val="009B5A2D"/>
    <w:rsid w:val="009F6E5A"/>
    <w:rsid w:val="00A1076A"/>
    <w:rsid w:val="00A13BC9"/>
    <w:rsid w:val="00A26589"/>
    <w:rsid w:val="00A32660"/>
    <w:rsid w:val="00A47D94"/>
    <w:rsid w:val="00A67836"/>
    <w:rsid w:val="00A823F2"/>
    <w:rsid w:val="00A87768"/>
    <w:rsid w:val="00AB13FE"/>
    <w:rsid w:val="00AC6B5B"/>
    <w:rsid w:val="00B173B4"/>
    <w:rsid w:val="00B44B38"/>
    <w:rsid w:val="00B83B2C"/>
    <w:rsid w:val="00B95DBC"/>
    <w:rsid w:val="00BA7870"/>
    <w:rsid w:val="00BC77AC"/>
    <w:rsid w:val="00BD2AA7"/>
    <w:rsid w:val="00BD3A7E"/>
    <w:rsid w:val="00BF6E52"/>
    <w:rsid w:val="00C02489"/>
    <w:rsid w:val="00C55198"/>
    <w:rsid w:val="00C76FAA"/>
    <w:rsid w:val="00C8290F"/>
    <w:rsid w:val="00C86ED0"/>
    <w:rsid w:val="00CA14D7"/>
    <w:rsid w:val="00CB0826"/>
    <w:rsid w:val="00CC2D68"/>
    <w:rsid w:val="00CF7251"/>
    <w:rsid w:val="00D025E1"/>
    <w:rsid w:val="00D177FE"/>
    <w:rsid w:val="00D46873"/>
    <w:rsid w:val="00D8153B"/>
    <w:rsid w:val="00D921D5"/>
    <w:rsid w:val="00D943D5"/>
    <w:rsid w:val="00DE4BE7"/>
    <w:rsid w:val="00DE724D"/>
    <w:rsid w:val="00E80F8C"/>
    <w:rsid w:val="00E8387B"/>
    <w:rsid w:val="00EA4D75"/>
    <w:rsid w:val="00EA7708"/>
    <w:rsid w:val="00EB088A"/>
    <w:rsid w:val="00ED3D3E"/>
    <w:rsid w:val="00ED76C5"/>
    <w:rsid w:val="00EE4587"/>
    <w:rsid w:val="00EF7BD6"/>
    <w:rsid w:val="00F3508E"/>
    <w:rsid w:val="00FA00B8"/>
    <w:rsid w:val="00FA194B"/>
    <w:rsid w:val="00FA3C20"/>
    <w:rsid w:val="00FB3CDB"/>
    <w:rsid w:val="00FD4F0A"/>
    <w:rsid w:val="00FD7DEC"/>
    <w:rsid w:val="00FE224B"/>
    <w:rsid w:val="00FE7AC4"/>
    <w:rsid w:val="00FF3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uiPriority w:val="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537FF"/>
    <w:pPr>
      <w:spacing w:before="100" w:beforeAutospacing="1" w:after="119"/>
    </w:pPr>
    <w:rPr>
      <w:sz w:val="24"/>
      <w:szCs w:val="24"/>
    </w:rPr>
  </w:style>
  <w:style w:type="paragraph" w:styleId="a9">
    <w:name w:val="Body Text"/>
    <w:basedOn w:val="a"/>
    <w:link w:val="aa"/>
    <w:rsid w:val="00610BCA"/>
    <w:pPr>
      <w:jc w:val="both"/>
    </w:pPr>
    <w:rPr>
      <w:sz w:val="26"/>
    </w:rPr>
  </w:style>
  <w:style w:type="character" w:customStyle="1" w:styleId="aa">
    <w:name w:val="Основной текст Знак"/>
    <w:basedOn w:val="a0"/>
    <w:link w:val="a9"/>
    <w:rsid w:val="00610BCA"/>
    <w:rPr>
      <w:sz w:val="26"/>
    </w:rPr>
  </w:style>
  <w:style w:type="paragraph" w:customStyle="1" w:styleId="ConsPlusNonformat">
    <w:name w:val="ConsPlusNonformat"/>
    <w:rsid w:val="00610BC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footer"/>
    <w:basedOn w:val="a"/>
    <w:link w:val="ac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10BCA"/>
  </w:style>
  <w:style w:type="character" w:styleId="ad">
    <w:name w:val="page number"/>
    <w:basedOn w:val="a0"/>
    <w:rsid w:val="00610BCA"/>
  </w:style>
  <w:style w:type="paragraph" w:styleId="ae">
    <w:name w:val="header"/>
    <w:basedOn w:val="a"/>
    <w:link w:val="af"/>
    <w:uiPriority w:val="99"/>
    <w:rsid w:val="00610BC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10BCA"/>
  </w:style>
  <w:style w:type="table" w:styleId="af0">
    <w:name w:val="Table Grid"/>
    <w:basedOn w:val="a1"/>
    <w:uiPriority w:val="59"/>
    <w:rsid w:val="00610B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Strong"/>
    <w:basedOn w:val="a0"/>
    <w:qFormat/>
    <w:rsid w:val="00610BCA"/>
    <w:rPr>
      <w:b/>
      <w:bCs/>
    </w:rPr>
  </w:style>
  <w:style w:type="character" w:styleId="af2">
    <w:name w:val="Hyperlink"/>
    <w:basedOn w:val="a0"/>
    <w:uiPriority w:val="99"/>
    <w:unhideWhenUsed/>
    <w:rsid w:val="00610BCA"/>
    <w:rPr>
      <w:color w:val="0000FF"/>
      <w:u w:val="single"/>
    </w:rPr>
  </w:style>
  <w:style w:type="paragraph" w:customStyle="1" w:styleId="Style1">
    <w:name w:val="Style1"/>
    <w:basedOn w:val="a"/>
    <w:uiPriority w:val="99"/>
    <w:rsid w:val="00610BCA"/>
    <w:pPr>
      <w:widowControl w:val="0"/>
      <w:autoSpaceDE w:val="0"/>
      <w:autoSpaceDN w:val="0"/>
      <w:adjustRightInd w:val="0"/>
      <w:spacing w:line="221" w:lineRule="exact"/>
      <w:ind w:firstLine="483"/>
      <w:jc w:val="both"/>
    </w:pPr>
    <w:rPr>
      <w:sz w:val="24"/>
      <w:szCs w:val="24"/>
    </w:rPr>
  </w:style>
  <w:style w:type="character" w:customStyle="1" w:styleId="FontStyle55">
    <w:name w:val="Font Style55"/>
    <w:basedOn w:val="a0"/>
    <w:uiPriority w:val="99"/>
    <w:rsid w:val="00610BCA"/>
    <w:rPr>
      <w:rFonts w:ascii="Times New Roman" w:hAnsi="Times New Roman" w:cs="Times New Roman"/>
      <w:sz w:val="18"/>
      <w:szCs w:val="18"/>
    </w:rPr>
  </w:style>
  <w:style w:type="paragraph" w:customStyle="1" w:styleId="ConsPlusNormal">
    <w:name w:val="ConsPlusNormal"/>
    <w:rsid w:val="00610BCA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Style7">
    <w:name w:val="Style7"/>
    <w:basedOn w:val="a"/>
    <w:uiPriority w:val="99"/>
    <w:rsid w:val="00610BCA"/>
    <w:pPr>
      <w:widowControl w:val="0"/>
      <w:autoSpaceDE w:val="0"/>
      <w:autoSpaceDN w:val="0"/>
      <w:adjustRightInd w:val="0"/>
      <w:spacing w:line="317" w:lineRule="exact"/>
      <w:ind w:hanging="1123"/>
    </w:pPr>
    <w:rPr>
      <w:sz w:val="24"/>
      <w:szCs w:val="24"/>
    </w:rPr>
  </w:style>
  <w:style w:type="character" w:customStyle="1" w:styleId="FontStyle31">
    <w:name w:val="Font Style31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paragraph" w:customStyle="1" w:styleId="11">
    <w:name w:val="Обычный1"/>
    <w:rsid w:val="00610BCA"/>
  </w:style>
  <w:style w:type="paragraph" w:customStyle="1" w:styleId="af3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610BC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f4">
    <w:name w:val="Основной текст_"/>
    <w:rsid w:val="00610BCA"/>
    <w:rPr>
      <w:rFonts w:ascii="Times New Roman" w:hAnsi="Times New Roman" w:cs="Times New Roman"/>
      <w:sz w:val="27"/>
      <w:szCs w:val="27"/>
      <w:u w:val="none"/>
    </w:rPr>
  </w:style>
  <w:style w:type="paragraph" w:customStyle="1" w:styleId="Style15">
    <w:name w:val="Style15"/>
    <w:basedOn w:val="a"/>
    <w:uiPriority w:val="99"/>
    <w:rsid w:val="00610BC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610BCA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normal">
    <w:name w:val="normal"/>
    <w:rsid w:val="00610BCA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customStyle="1" w:styleId="FontStyle19">
    <w:name w:val="Font Style19"/>
    <w:uiPriority w:val="99"/>
    <w:rsid w:val="00610BCA"/>
    <w:rPr>
      <w:rFonts w:ascii="Times New Roman" w:hAnsi="Times New Roman" w:cs="Times New Roman" w:hint="default"/>
      <w:sz w:val="26"/>
      <w:szCs w:val="26"/>
    </w:rPr>
  </w:style>
  <w:style w:type="character" w:customStyle="1" w:styleId="FontStyle33">
    <w:name w:val="Font Style33"/>
    <w:uiPriority w:val="99"/>
    <w:rsid w:val="00610BCA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Style31">
    <w:name w:val="Style31"/>
    <w:basedOn w:val="a"/>
    <w:uiPriority w:val="99"/>
    <w:rsid w:val="00610BCA"/>
    <w:pPr>
      <w:widowControl w:val="0"/>
      <w:autoSpaceDE w:val="0"/>
      <w:autoSpaceDN w:val="0"/>
      <w:adjustRightInd w:val="0"/>
      <w:spacing w:line="226" w:lineRule="exact"/>
      <w:ind w:firstLine="391"/>
    </w:pPr>
    <w:rPr>
      <w:sz w:val="24"/>
      <w:szCs w:val="24"/>
    </w:rPr>
  </w:style>
  <w:style w:type="paragraph" w:customStyle="1" w:styleId="kamenskuralskiyhidden">
    <w:name w:val="kamenskuralskiy_hidden"/>
    <w:basedOn w:val="a"/>
    <w:rsid w:val="00610BCA"/>
    <w:pPr>
      <w:spacing w:before="100" w:beforeAutospacing="1" w:after="100" w:afterAutospacing="1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610BCA"/>
    <w:pPr>
      <w:widowControl w:val="0"/>
      <w:autoSpaceDE w:val="0"/>
      <w:autoSpaceDN w:val="0"/>
      <w:adjustRightInd w:val="0"/>
      <w:spacing w:line="223" w:lineRule="exact"/>
      <w:jc w:val="center"/>
    </w:pPr>
    <w:rPr>
      <w:sz w:val="24"/>
      <w:szCs w:val="24"/>
    </w:rPr>
  </w:style>
  <w:style w:type="character" w:customStyle="1" w:styleId="FontStyle67">
    <w:name w:val="Font Style67"/>
    <w:basedOn w:val="a0"/>
    <w:uiPriority w:val="99"/>
    <w:rsid w:val="00610BCA"/>
    <w:rPr>
      <w:rFonts w:ascii="Times New Roman" w:hAnsi="Times New Roman" w:cs="Times New Roman"/>
      <w:b/>
      <w:bCs/>
      <w:sz w:val="18"/>
      <w:szCs w:val="18"/>
    </w:rPr>
  </w:style>
  <w:style w:type="character" w:customStyle="1" w:styleId="blk">
    <w:name w:val="blk"/>
    <w:basedOn w:val="a0"/>
    <w:rsid w:val="00610BCA"/>
  </w:style>
  <w:style w:type="character" w:customStyle="1" w:styleId="objecttitletxt">
    <w:name w:val="objecttitletxt"/>
    <w:basedOn w:val="a0"/>
    <w:rsid w:val="00610BCA"/>
  </w:style>
  <w:style w:type="paragraph" w:customStyle="1" w:styleId="Default">
    <w:name w:val="Default"/>
    <w:rsid w:val="00610BC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10BCA"/>
    <w:rPr>
      <w:b/>
      <w:iCs/>
      <w:sz w:val="28"/>
      <w:szCs w:val="28"/>
    </w:rPr>
  </w:style>
  <w:style w:type="paragraph" w:styleId="af5">
    <w:name w:val="List Paragraph"/>
    <w:aliases w:val="ПАРАГРАФ,List Paragraph,Абзац списка11"/>
    <w:basedOn w:val="a"/>
    <w:link w:val="af6"/>
    <w:uiPriority w:val="34"/>
    <w:qFormat/>
    <w:rsid w:val="00610B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">
    <w:name w:val="Body text_"/>
    <w:link w:val="Bodytext0"/>
    <w:locked/>
    <w:rsid w:val="00610BCA"/>
    <w:rPr>
      <w:sz w:val="25"/>
      <w:shd w:val="clear" w:color="auto" w:fill="FFFFFF"/>
    </w:rPr>
  </w:style>
  <w:style w:type="paragraph" w:customStyle="1" w:styleId="Bodytext0">
    <w:name w:val="Body text"/>
    <w:basedOn w:val="a"/>
    <w:link w:val="Bodytext"/>
    <w:rsid w:val="00610BCA"/>
    <w:pPr>
      <w:widowControl w:val="0"/>
      <w:shd w:val="clear" w:color="auto" w:fill="FFFFFF"/>
      <w:spacing w:line="322" w:lineRule="exact"/>
      <w:jc w:val="both"/>
    </w:pPr>
    <w:rPr>
      <w:sz w:val="25"/>
      <w:shd w:val="clear" w:color="auto" w:fill="FFFFFF"/>
    </w:rPr>
  </w:style>
  <w:style w:type="character" w:customStyle="1" w:styleId="af6">
    <w:name w:val="Абзац списка Знак"/>
    <w:aliases w:val="ПАРАГРАФ Знак,List Paragraph Знак,Абзац списка11 Знак"/>
    <w:link w:val="af5"/>
    <w:uiPriority w:val="34"/>
    <w:locked/>
    <w:rsid w:val="00610BCA"/>
    <w:rPr>
      <w:rFonts w:ascii="Calibri" w:eastAsia="Calibri" w:hAnsi="Calibri"/>
      <w:sz w:val="22"/>
      <w:szCs w:val="22"/>
      <w:lang w:eastAsia="en-US"/>
    </w:rPr>
  </w:style>
  <w:style w:type="paragraph" w:customStyle="1" w:styleId="20">
    <w:name w:val="Обычный2"/>
    <w:rsid w:val="008C6520"/>
  </w:style>
  <w:style w:type="paragraph" w:customStyle="1" w:styleId="af7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8C652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5">
    <w:name w:val="Основной текст с отступом Знак"/>
    <w:basedOn w:val="a0"/>
    <w:link w:val="a4"/>
    <w:rsid w:val="00BD3A7E"/>
    <w:rPr>
      <w:sz w:val="25"/>
      <w:szCs w:val="24"/>
    </w:rPr>
  </w:style>
  <w:style w:type="paragraph" w:customStyle="1" w:styleId="3">
    <w:name w:val="Обычный3"/>
    <w:rsid w:val="00BD3A7E"/>
  </w:style>
  <w:style w:type="paragraph" w:customStyle="1" w:styleId="af8">
    <w:name w:val="Знак Знак Знак Знак Знак Знак Знак Знак Знак Знак Знак Знак Знак Знак Знак Знак Знак Знак Знак Знак Знак Знак Знак"/>
    <w:basedOn w:val="a"/>
    <w:rsid w:val="00BD3A7E"/>
    <w:pPr>
      <w:spacing w:before="100" w:beforeAutospacing="1" w:after="100" w:afterAutospacing="1"/>
    </w:pPr>
    <w:rPr>
      <w:rFonts w:ascii="Tahoma" w:hAnsi="Tahoma"/>
      <w:sz w:val="24"/>
      <w:szCs w:val="24"/>
      <w:lang w:val="en-US" w:eastAsia="en-US"/>
    </w:rPr>
  </w:style>
  <w:style w:type="paragraph" w:styleId="af9">
    <w:name w:val="Title"/>
    <w:basedOn w:val="a"/>
    <w:link w:val="afa"/>
    <w:uiPriority w:val="99"/>
    <w:qFormat/>
    <w:rsid w:val="00950B93"/>
    <w:pPr>
      <w:widowControl w:val="0"/>
      <w:autoSpaceDE w:val="0"/>
      <w:autoSpaceDN w:val="0"/>
      <w:ind w:left="878" w:right="1171" w:hanging="12"/>
      <w:jc w:val="center"/>
    </w:pPr>
    <w:rPr>
      <w:sz w:val="32"/>
      <w:szCs w:val="32"/>
      <w:lang w:eastAsia="en-US"/>
    </w:rPr>
  </w:style>
  <w:style w:type="character" w:customStyle="1" w:styleId="afa">
    <w:name w:val="Название Знак"/>
    <w:basedOn w:val="a0"/>
    <w:link w:val="af9"/>
    <w:uiPriority w:val="99"/>
    <w:rsid w:val="00950B93"/>
    <w:rPr>
      <w:sz w:val="32"/>
      <w:szCs w:val="32"/>
      <w:lang w:eastAsia="en-US"/>
    </w:rPr>
  </w:style>
  <w:style w:type="character" w:customStyle="1" w:styleId="hgkelc">
    <w:name w:val="hgkelc"/>
    <w:basedOn w:val="a0"/>
    <w:rsid w:val="00950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soku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311</TotalTime>
  <Pages>18</Pages>
  <Words>4995</Words>
  <Characters>36896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57</cp:revision>
  <cp:lastPrinted>2025-02-14T09:39:00Z</cp:lastPrinted>
  <dcterms:created xsi:type="dcterms:W3CDTF">2020-08-05T08:43:00Z</dcterms:created>
  <dcterms:modified xsi:type="dcterms:W3CDTF">2026-02-06T10:32:00Z</dcterms:modified>
</cp:coreProperties>
</file>